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0">
      <w:pPr>
        <w:pStyle w:val="Title"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Motion for a Resolution by</w:t>
      </w:r>
    </w:p>
    <w:p w:rsidR="00000000" w:rsidDel="00000000" w:rsidP="00000000" w:rsidRDefault="00000000" w:rsidRPr="00000000" w14:paraId="00000001">
      <w:pPr>
        <w:pStyle w:val="Title"/>
        <w:spacing w:before="0" w:lineRule="auto"/>
        <w:contextualSpacing w:val="0"/>
        <w:rPr>
          <w:b w:val="0"/>
        </w:rPr>
      </w:pPr>
      <w:r w:rsidDel="00000000" w:rsidR="00000000" w:rsidRPr="00000000">
        <w:rPr>
          <w:rtl w:val="0"/>
        </w:rPr>
        <w:t xml:space="preserve">The Committee on </w:t>
      </w:r>
      <w:r w:rsidDel="00000000" w:rsidR="00000000" w:rsidRPr="00000000">
        <w:rPr>
          <w:b w:val="0"/>
          <w:rtl w:val="0"/>
        </w:rPr>
        <w:t xml:space="preserve">CULTURE AND EDUCATION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0" w:firstLine="0"/>
        <w:contextualSpacing w:val="0"/>
        <w:jc w:val="center"/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center"/>
        <w:tblLayout w:type="fixed"/>
        <w:tblLook w:val="0000"/>
      </w:tblPr>
      <w:tblGrid>
        <w:gridCol w:w="1808"/>
        <w:gridCol w:w="7439"/>
        <w:tblGridChange w:id="0">
          <w:tblGrid>
            <w:gridCol w:w="1808"/>
            <w:gridCol w:w="7439"/>
          </w:tblGrid>
        </w:tblGridChange>
      </w:tblGrid>
      <w:tr>
        <w:trPr>
          <w:trHeight w:val="2220" w:hRule="atLeast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Submitted by: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Kristýna Horálková, Daniel Mezera, Jan Tichý, Adéla Kmoníčková, Jakub Ramašenki, Klára Matějková, Vojtěch Mauer, Julie Sedláčková, Mikuláš Sedlák, Alžběta Vítková </w:t>
            </w:r>
            <w:r w:rsidDel="00000000" w:rsidR="00000000" w:rsidRPr="00000000"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(Chairperson, CZ).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European Youth Parliament, </w:t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Defining cyber-bullying as an aggressive, intentional act carried out by a group or individual, using an electronic form of contact, repeatedly and over time against a victim who cannot easily defend themselves.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Aware that discrepancies exist among Member States’ definition of cyber-bullying,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Noting with deep concern that cyber-bullying is not specifically addressed in the legal systems of most Member States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Realising that the majority of cyber-bullying victims do not have the means, knowledge or support to overcome their predicaments,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Deeply concerned by parents’ lack of awareness about their children being cyber-bullied,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/>
        <w:contextualSpacing w:val="1"/>
        <w:rPr>
          <w:sz w:val="20"/>
          <w:szCs w:val="20"/>
        </w:rPr>
      </w:pPr>
      <w:bookmarkStart w:colFirst="0" w:colLast="0" w:name="_j7droge2a9m7" w:id="2"/>
      <w:bookmarkEnd w:id="2"/>
      <w:r w:rsidDel="00000000" w:rsidR="00000000" w:rsidRPr="00000000">
        <w:rPr>
          <w:sz w:val="20"/>
          <w:szCs w:val="20"/>
          <w:rtl w:val="0"/>
        </w:rPr>
        <w:t xml:space="preserve">Alarmed by the lack of education on cyber-bullying that renders students, teachers and parents unable to effectively deal with the issue</w:t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sz w:val="20"/>
          <w:szCs w:val="20"/>
        </w:rPr>
      </w:pPr>
      <w:bookmarkStart w:colFirst="0" w:colLast="0" w:name="_kw7gu9oyxhq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Proposes adding of a new school subject to the school curriculum dealing with the issue of cyber-bullying, in order to raise awareness among students and to help prevent developing potential aggressive behaviour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Encourages social media network providers to improve blocking options by creating a new way of blocking a specific IP address in order to avoid repeated attacks of the same bully.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Calls upon the Member States governments to establish a position of a specialist checking reported chats with the right to block IP addresses of cyber-bullies.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Suggests launching a media campaign in a form of short commercial video spots on social networking sites to raise awareness of the issue in the problematic environment.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720" w:top="720" w:left="720" w:right="720" w:header="79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12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rdo" w:cs="Cardo" w:eastAsia="Cardo" w:hAnsi="Card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5641340</wp:posOffset>
          </wp:positionH>
          <wp:positionV relativeFrom="paragraph">
            <wp:posOffset>-46989</wp:posOffset>
          </wp:positionV>
          <wp:extent cx="1003935" cy="749935"/>
          <wp:effectExtent b="0" l="0" r="0" t="0"/>
          <wp:wrapTopAndBottom distB="0" distT="0"/>
          <wp:docPr id="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935" cy="749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194945</wp:posOffset>
          </wp:positionH>
          <wp:positionV relativeFrom="paragraph">
            <wp:posOffset>-739139</wp:posOffset>
          </wp:positionV>
          <wp:extent cx="349885" cy="323850"/>
          <wp:effectExtent b="0" l="0" r="0" t="0"/>
          <wp:wrapTopAndBottom distB="0" distT="0"/>
          <wp:docPr id="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9885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1117600</wp:posOffset>
              </wp:positionH>
              <wp:positionV relativeFrom="paragraph">
                <wp:posOffset>-50799</wp:posOffset>
              </wp:positionV>
              <wp:extent cx="1806575" cy="7283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47475" y="3423765"/>
                        <a:ext cx="1797050" cy="712470"/>
                      </a:xfrm>
                      <a:custGeom>
                        <a:rect b="b" l="l" r="r" t="t"/>
                        <a:pathLst>
                          <a:path extrusionOk="0" h="712470" w="1797050">
                            <a:moveTo>
                              <a:pt x="0" y="0"/>
                            </a:moveTo>
                            <a:lnTo>
                              <a:pt x="0" y="712470"/>
                            </a:lnTo>
                            <a:lnTo>
                              <a:pt x="1797050" y="712470"/>
                            </a:lnTo>
                            <a:lnTo>
                              <a:pt x="17970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 Black" w:cs="Source Sans Pro Black" w:eastAsia="Source Sans Pro Black" w:hAnsi="Source Sans Pro Black"/>
                              <w:b w:val="0"/>
                              <w:i w:val="0"/>
                              <w:smallCaps w:val="1"/>
                              <w:strike w:val="0"/>
                              <w:color w:val="005596"/>
                              <w:sz w:val="24"/>
                              <w:vertAlign w:val="baseline"/>
                            </w:rPr>
                            <w:t xml:space="preserve">EYP </w:t>
                          </w:r>
                          <w:r w:rsidDel="00000000" w:rsidR="00000000" w:rsidRPr="00000000">
                            <w:rPr>
                              <w:rFonts w:ascii="Source Sans Pro Black" w:cs="Source Sans Pro Black" w:eastAsia="Source Sans Pro Black" w:hAnsi="Source Sans Pro Black"/>
                              <w:b w:val="0"/>
                              <w:i w:val="0"/>
                              <w:smallCaps w:val="1"/>
                              <w:strike w:val="0"/>
                              <w:color w:val="262626"/>
                              <w:sz w:val="24"/>
                              <w:vertAlign w:val="baseline"/>
                            </w:rPr>
                            <w:t xml:space="preserve">Day | </w:t>
                          </w:r>
                          <w:r w:rsidDel="00000000" w:rsidR="00000000" w:rsidRPr="00000000">
                            <w:rPr>
                              <w:rFonts w:ascii="Source Sans Pro Black" w:cs="Source Sans Pro Black" w:eastAsia="Source Sans Pro Black" w:hAnsi="Source Sans Pro Black"/>
                              <w:b w:val="0"/>
                              <w:i w:val="0"/>
                              <w:smallCaps w:val="1"/>
                              <w:strike w:val="0"/>
                              <w:color w:val="ffc305"/>
                              <w:sz w:val="24"/>
                              <w:vertAlign w:val="baseline"/>
                            </w:rPr>
                            <w:t xml:space="preserve">Den </w:t>
                          </w:r>
                          <w:r w:rsidDel="00000000" w:rsidR="00000000" w:rsidRPr="00000000">
                            <w:rPr>
                              <w:rFonts w:ascii="Source Sans Pro Black" w:cs="Source Sans Pro Black" w:eastAsia="Source Sans Pro Black" w:hAnsi="Source Sans Pro Black"/>
                              <w:b w:val="0"/>
                              <w:i w:val="0"/>
                              <w:smallCaps w:val="1"/>
                              <w:strike w:val="0"/>
                              <w:color w:val="3b3838"/>
                              <w:sz w:val="24"/>
                              <w:vertAlign w:val="baseline"/>
                            </w:rPr>
                            <w:t xml:space="preserve">EPM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 Black" w:cs="Source Sans Pro Black" w:eastAsia="Source Sans Pro Black" w:hAnsi="Source Sans Pro Black"/>
                              <w:b w:val="0"/>
                              <w:i w:val="0"/>
                              <w:smallCaps w:val="1"/>
                              <w:strike w:val="0"/>
                              <w:color w:val="3b3838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ource Sans Pro ExtraLight" w:cs="Source Sans Pro ExtraLight" w:eastAsia="Source Sans Pro ExtraLight" w:hAnsi="Source Sans Pro Extra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Gymnázium, </w:t>
                          </w:r>
                          <w:r w:rsidDel="00000000" w:rsidR="00000000" w:rsidRPr="00000000">
                            <w:rPr>
                              <w:rFonts w:ascii="Source Sans Pro ExtraLight" w:cs="Source Sans Pro ExtraLight" w:eastAsia="Source Sans Pro ExtraLight" w:hAnsi="Source Sans Pro Extra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Pardubice, Dašická 1083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1117600</wp:posOffset>
              </wp:positionH>
              <wp:positionV relativeFrom="paragraph">
                <wp:posOffset>-50799</wp:posOffset>
              </wp:positionV>
              <wp:extent cx="1806575" cy="728305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6575" cy="728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49605" y="3733010"/>
                        <a:ext cx="0" cy="6908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5596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rdo" w:cs="Cardo" w:eastAsia="Cardo" w:hAnsi="Card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rFonts w:ascii="Cardo" w:cs="Cardo" w:eastAsia="Cardo" w:hAnsi="Cardo"/>
        <w:b w:val="0"/>
      </w:rPr>
    </w:lvl>
    <w:lvl w:ilvl="1">
      <w:start w:val="1"/>
      <w:numFmt w:val="lowerRoman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do" w:cs="Cardo" w:eastAsia="Cardo" w:hAnsi="Cardo"/>
        <w:sz w:val="28"/>
        <w:szCs w:val="28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840" w:line="240" w:lineRule="auto"/>
      <w:contextualSpacing w:val="1"/>
      <w:jc w:val="center"/>
    </w:pPr>
    <w:rPr>
      <w:b w:val="1"/>
      <w:smallCaps w:val="1"/>
      <w:sz w:val="36"/>
      <w:szCs w:val="36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