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B4473" w14:textId="3E13D427" w:rsidR="00390BB0" w:rsidRPr="00037EAA" w:rsidRDefault="00390BB0" w:rsidP="00F908DB">
      <w:pPr>
        <w:jc w:val="center"/>
        <w:rPr>
          <w:rFonts w:ascii="Arial" w:hAnsi="Arial" w:cs="Arial"/>
          <w:b/>
          <w:sz w:val="24"/>
          <w:szCs w:val="24"/>
        </w:rPr>
      </w:pPr>
    </w:p>
    <w:p w14:paraId="5A66F084" w14:textId="1A69D405" w:rsidR="00390BB0" w:rsidRPr="00037EAA" w:rsidRDefault="0067578A" w:rsidP="00F908DB">
      <w:pPr>
        <w:jc w:val="center"/>
        <w:rPr>
          <w:rFonts w:ascii="Arial" w:hAnsi="Arial" w:cs="Arial"/>
          <w:b/>
          <w:sz w:val="24"/>
          <w:szCs w:val="24"/>
        </w:rPr>
      </w:pPr>
      <w:r w:rsidRPr="00037EAA">
        <w:rPr>
          <w:rFonts w:ascii="Arial" w:hAnsi="Arial" w:cs="Arial"/>
          <w:b/>
          <w:sz w:val="24"/>
          <w:szCs w:val="24"/>
        </w:rPr>
        <w:t>ZADÁVACÍ PODMÍNKY PRO VÝBĚR ZHOTOVITELE</w:t>
      </w:r>
    </w:p>
    <w:p w14:paraId="68F78201" w14:textId="77777777" w:rsidR="0067578A" w:rsidRPr="00037EAA" w:rsidRDefault="0067578A" w:rsidP="00F908DB">
      <w:pPr>
        <w:jc w:val="center"/>
        <w:rPr>
          <w:rFonts w:ascii="Arial" w:hAnsi="Arial" w:cs="Arial"/>
          <w:b/>
          <w:sz w:val="24"/>
          <w:szCs w:val="24"/>
        </w:rPr>
      </w:pPr>
    </w:p>
    <w:p w14:paraId="1E2E4944" w14:textId="77777777" w:rsidR="00C33C1A" w:rsidRPr="00037EAA" w:rsidRDefault="00390BB0" w:rsidP="00C33C1A">
      <w:pPr>
        <w:autoSpaceDE w:val="0"/>
        <w:autoSpaceDN w:val="0"/>
        <w:adjustRightInd w:val="0"/>
        <w:jc w:val="center"/>
        <w:rPr>
          <w:rFonts w:ascii="Arial" w:hAnsi="Arial" w:cs="Arial"/>
        </w:rPr>
      </w:pPr>
      <w:r w:rsidRPr="00037EAA">
        <w:rPr>
          <w:rFonts w:ascii="Arial" w:hAnsi="Arial" w:cs="Arial"/>
          <w:b/>
          <w:sz w:val="24"/>
          <w:szCs w:val="24"/>
        </w:rPr>
        <w:t xml:space="preserve">Název projektu: </w:t>
      </w:r>
      <w:r w:rsidR="00C33C1A" w:rsidRPr="00037EAA">
        <w:rPr>
          <w:rFonts w:ascii="Arial" w:hAnsi="Arial" w:cs="Arial"/>
        </w:rPr>
        <w:t>„Modernizace osvětlení v hale Dašická“</w:t>
      </w:r>
    </w:p>
    <w:p w14:paraId="70BD7CBC" w14:textId="77777777" w:rsidR="00C33C1A" w:rsidRPr="00037EAA" w:rsidRDefault="00C33C1A" w:rsidP="00C33C1A">
      <w:pPr>
        <w:jc w:val="both"/>
        <w:rPr>
          <w:rFonts w:ascii="Arial" w:hAnsi="Arial" w:cs="Arial"/>
        </w:rPr>
      </w:pPr>
    </w:p>
    <w:p w14:paraId="5BFA7D0C" w14:textId="06C7A58A" w:rsidR="00F908DB" w:rsidRPr="00037EAA" w:rsidRDefault="00F908DB" w:rsidP="00F908DB">
      <w:pPr>
        <w:spacing w:after="0"/>
        <w:rPr>
          <w:rFonts w:ascii="Arial" w:hAnsi="Arial" w:cs="Arial"/>
          <w:b/>
          <w:sz w:val="24"/>
          <w:szCs w:val="24"/>
        </w:rPr>
      </w:pPr>
      <w:r w:rsidRPr="00037EAA">
        <w:rPr>
          <w:rFonts w:ascii="Arial" w:hAnsi="Arial" w:cs="Arial"/>
          <w:b/>
          <w:sz w:val="24"/>
          <w:szCs w:val="24"/>
        </w:rPr>
        <w:t xml:space="preserve">Zadavatel: </w:t>
      </w:r>
    </w:p>
    <w:p w14:paraId="008931C4" w14:textId="42F826E2" w:rsidR="00F908DB" w:rsidRPr="00037EAA" w:rsidRDefault="0067578A" w:rsidP="00F908DB">
      <w:pPr>
        <w:spacing w:after="0" w:line="240" w:lineRule="auto"/>
        <w:rPr>
          <w:rFonts w:ascii="Arial" w:hAnsi="Arial" w:cs="Arial"/>
          <w:color w:val="808080" w:themeColor="background1" w:themeShade="80"/>
        </w:rPr>
      </w:pPr>
      <w:r w:rsidRPr="00037EAA">
        <w:rPr>
          <w:rFonts w:ascii="Arial" w:hAnsi="Arial" w:cs="Arial"/>
          <w:color w:val="808080" w:themeColor="background1" w:themeShade="80"/>
        </w:rPr>
        <w:t>Gymnázium, Pardubice, Dašická 1083, 530 03 Pardubice</w:t>
      </w:r>
      <w:r w:rsidR="00F908DB" w:rsidRPr="00037EAA">
        <w:rPr>
          <w:rFonts w:ascii="Arial" w:hAnsi="Arial" w:cs="Arial"/>
          <w:color w:val="808080" w:themeColor="background1" w:themeShade="80"/>
        </w:rPr>
        <w:t>, IČ</w:t>
      </w:r>
      <w:r w:rsidRPr="00037EAA">
        <w:rPr>
          <w:rFonts w:ascii="Arial" w:hAnsi="Arial" w:cs="Arial"/>
          <w:color w:val="808080" w:themeColor="background1" w:themeShade="80"/>
        </w:rPr>
        <w:t>O</w:t>
      </w:r>
      <w:r w:rsidR="00F908DB" w:rsidRPr="00037EAA">
        <w:rPr>
          <w:rFonts w:ascii="Arial" w:hAnsi="Arial" w:cs="Arial"/>
          <w:color w:val="808080" w:themeColor="background1" w:themeShade="80"/>
        </w:rPr>
        <w:t xml:space="preserve">: </w:t>
      </w:r>
      <w:r w:rsidRPr="00037EAA">
        <w:rPr>
          <w:rFonts w:ascii="Arial" w:hAnsi="Arial" w:cs="Arial"/>
          <w:color w:val="808080" w:themeColor="background1" w:themeShade="80"/>
        </w:rPr>
        <w:t>48160989</w:t>
      </w:r>
    </w:p>
    <w:p w14:paraId="0BC2408E" w14:textId="19D525F0" w:rsidR="00F908DB" w:rsidRPr="00037EAA" w:rsidRDefault="00F908DB" w:rsidP="00F908DB">
      <w:pPr>
        <w:spacing w:after="0"/>
        <w:rPr>
          <w:rFonts w:ascii="Arial" w:hAnsi="Arial" w:cs="Arial"/>
          <w:b/>
          <w:sz w:val="24"/>
          <w:szCs w:val="24"/>
        </w:rPr>
      </w:pPr>
    </w:p>
    <w:p w14:paraId="00A26E72" w14:textId="33659471" w:rsidR="00F908DB" w:rsidRPr="00037EAA" w:rsidRDefault="00F908DB" w:rsidP="00F908DB">
      <w:pPr>
        <w:spacing w:after="0"/>
        <w:rPr>
          <w:rFonts w:ascii="Arial" w:hAnsi="Arial" w:cs="Arial"/>
          <w:b/>
          <w:sz w:val="24"/>
          <w:szCs w:val="24"/>
        </w:rPr>
      </w:pPr>
      <w:r w:rsidRPr="00037EAA">
        <w:rPr>
          <w:rFonts w:ascii="Arial" w:hAnsi="Arial" w:cs="Arial"/>
          <w:b/>
          <w:sz w:val="24"/>
          <w:szCs w:val="24"/>
        </w:rPr>
        <w:t>Místo realizace:</w:t>
      </w:r>
    </w:p>
    <w:p w14:paraId="52BD6D5C" w14:textId="75CE8D31" w:rsidR="00F908DB" w:rsidRPr="00037EAA" w:rsidRDefault="00F908DB" w:rsidP="00F908DB">
      <w:pPr>
        <w:spacing w:after="0"/>
        <w:rPr>
          <w:rFonts w:ascii="Arial" w:hAnsi="Arial" w:cs="Arial"/>
          <w:color w:val="808080" w:themeColor="background1" w:themeShade="80"/>
        </w:rPr>
      </w:pPr>
      <w:r w:rsidRPr="00037EAA">
        <w:rPr>
          <w:rFonts w:ascii="Arial" w:hAnsi="Arial" w:cs="Arial"/>
          <w:color w:val="808080" w:themeColor="background1" w:themeShade="80"/>
        </w:rPr>
        <w:t>GYMNÁZIUM PARDUBICE, Dašická 1083, 530 03 Pardubice – sportovní hala</w:t>
      </w:r>
    </w:p>
    <w:p w14:paraId="2BA7ACE5" w14:textId="418DB43B" w:rsidR="00F908DB" w:rsidRPr="00037EAA" w:rsidRDefault="00F908DB" w:rsidP="00F908DB">
      <w:pPr>
        <w:rPr>
          <w:rFonts w:ascii="Arial" w:hAnsi="Arial" w:cs="Arial"/>
          <w:bCs/>
          <w:sz w:val="24"/>
          <w:szCs w:val="24"/>
        </w:rPr>
      </w:pPr>
    </w:p>
    <w:p w14:paraId="57F2099F" w14:textId="7B67F106" w:rsidR="00581611" w:rsidRPr="00037EAA" w:rsidRDefault="00581611" w:rsidP="00F908DB">
      <w:pPr>
        <w:rPr>
          <w:rFonts w:ascii="Arial" w:hAnsi="Arial" w:cs="Arial"/>
          <w:bCs/>
          <w:sz w:val="24"/>
          <w:szCs w:val="24"/>
        </w:rPr>
      </w:pPr>
    </w:p>
    <w:p w14:paraId="5D967255" w14:textId="77777777" w:rsidR="00581611" w:rsidRPr="00037EAA" w:rsidRDefault="00581611" w:rsidP="00F908DB">
      <w:pPr>
        <w:rPr>
          <w:rFonts w:ascii="Arial" w:hAnsi="Arial" w:cs="Arial"/>
          <w:bCs/>
          <w:sz w:val="24"/>
          <w:szCs w:val="24"/>
        </w:rPr>
      </w:pPr>
    </w:p>
    <w:p w14:paraId="5E70385D" w14:textId="76126936" w:rsidR="00B456B8" w:rsidRPr="00037EAA" w:rsidRDefault="00390BB0">
      <w:pPr>
        <w:rPr>
          <w:rFonts w:ascii="Arial" w:hAnsi="Arial" w:cs="Arial"/>
          <w:b/>
          <w:bCs/>
        </w:rPr>
      </w:pPr>
      <w:r w:rsidRPr="00037EAA">
        <w:rPr>
          <w:rFonts w:ascii="Arial" w:hAnsi="Arial" w:cs="Arial"/>
          <w:b/>
          <w:bCs/>
        </w:rPr>
        <w:t>OBSAH:</w:t>
      </w:r>
    </w:p>
    <w:p w14:paraId="6A8FFA91" w14:textId="3419768A" w:rsidR="00DB5F57" w:rsidRPr="00037EAA" w:rsidRDefault="00DB5F57" w:rsidP="00DB5F57">
      <w:pPr>
        <w:pStyle w:val="Odstavecseseznamem"/>
        <w:numPr>
          <w:ilvl w:val="0"/>
          <w:numId w:val="6"/>
        </w:numPr>
        <w:rPr>
          <w:rFonts w:ascii="Arial" w:hAnsi="Arial" w:cs="Arial"/>
        </w:rPr>
      </w:pPr>
      <w:r w:rsidRPr="00037EAA">
        <w:rPr>
          <w:rFonts w:ascii="Arial" w:hAnsi="Arial" w:cs="Arial"/>
        </w:rPr>
        <w:t>Hlavní účel projektu</w:t>
      </w:r>
    </w:p>
    <w:p w14:paraId="0C86F4D9" w14:textId="74175623" w:rsidR="00DB5F57" w:rsidRPr="00037EAA" w:rsidRDefault="004516FB" w:rsidP="00DB5F57">
      <w:pPr>
        <w:pStyle w:val="Odstavecseseznamem"/>
        <w:numPr>
          <w:ilvl w:val="0"/>
          <w:numId w:val="6"/>
        </w:numPr>
        <w:rPr>
          <w:rFonts w:ascii="Arial" w:hAnsi="Arial" w:cs="Arial"/>
        </w:rPr>
      </w:pPr>
      <w:r w:rsidRPr="00037EAA">
        <w:rPr>
          <w:rFonts w:ascii="Arial" w:hAnsi="Arial" w:cs="Arial"/>
        </w:rPr>
        <w:t xml:space="preserve">Popis a rozsah </w:t>
      </w:r>
      <w:r w:rsidR="00581611" w:rsidRPr="00037EAA">
        <w:rPr>
          <w:rFonts w:ascii="Arial" w:hAnsi="Arial" w:cs="Arial"/>
        </w:rPr>
        <w:t>projektu</w:t>
      </w:r>
    </w:p>
    <w:p w14:paraId="171512EC" w14:textId="0616B94F" w:rsidR="00DB5F57" w:rsidRPr="00037EAA" w:rsidRDefault="00025EC6" w:rsidP="00DB5F57">
      <w:pPr>
        <w:pStyle w:val="Odstavecseseznamem"/>
        <w:numPr>
          <w:ilvl w:val="0"/>
          <w:numId w:val="6"/>
        </w:numPr>
        <w:rPr>
          <w:rFonts w:ascii="Arial" w:hAnsi="Arial" w:cs="Arial"/>
        </w:rPr>
      </w:pPr>
      <w:r w:rsidRPr="00037EAA">
        <w:rPr>
          <w:rFonts w:ascii="Arial" w:hAnsi="Arial" w:cs="Arial"/>
        </w:rPr>
        <w:t xml:space="preserve">Požadavky na zpracování </w:t>
      </w:r>
      <w:r w:rsidR="00581611" w:rsidRPr="00037EAA">
        <w:rPr>
          <w:rFonts w:ascii="Arial" w:hAnsi="Arial" w:cs="Arial"/>
        </w:rPr>
        <w:t xml:space="preserve">cenové </w:t>
      </w:r>
      <w:r w:rsidRPr="00037EAA">
        <w:rPr>
          <w:rFonts w:ascii="Arial" w:hAnsi="Arial" w:cs="Arial"/>
        </w:rPr>
        <w:t>nabídky</w:t>
      </w:r>
    </w:p>
    <w:p w14:paraId="0EED49CA" w14:textId="7667DEA3" w:rsidR="00766203" w:rsidRPr="00037EAA" w:rsidRDefault="00766203" w:rsidP="00DB5F57">
      <w:pPr>
        <w:pStyle w:val="Odstavecseseznamem"/>
        <w:numPr>
          <w:ilvl w:val="0"/>
          <w:numId w:val="6"/>
        </w:numPr>
        <w:rPr>
          <w:rFonts w:ascii="Arial" w:hAnsi="Arial" w:cs="Arial"/>
        </w:rPr>
      </w:pPr>
      <w:r w:rsidRPr="00037EAA">
        <w:rPr>
          <w:rFonts w:ascii="Arial" w:hAnsi="Arial" w:cs="Arial"/>
        </w:rPr>
        <w:t>Záruky</w:t>
      </w:r>
    </w:p>
    <w:p w14:paraId="6C1ADFC5" w14:textId="1A8CB93A" w:rsidR="004516FB" w:rsidRPr="00037EAA" w:rsidRDefault="004516FB" w:rsidP="004516FB">
      <w:pPr>
        <w:pStyle w:val="Odstavecseseznamem"/>
        <w:numPr>
          <w:ilvl w:val="0"/>
          <w:numId w:val="6"/>
        </w:numPr>
        <w:rPr>
          <w:rFonts w:ascii="Arial" w:hAnsi="Arial" w:cs="Arial"/>
        </w:rPr>
      </w:pPr>
      <w:r w:rsidRPr="00037EAA">
        <w:rPr>
          <w:rFonts w:ascii="Arial" w:hAnsi="Arial" w:cs="Arial"/>
        </w:rPr>
        <w:t xml:space="preserve">Popis minimálních požadavků </w:t>
      </w:r>
    </w:p>
    <w:p w14:paraId="0EEB61A6" w14:textId="051C5301" w:rsidR="000E4BAD" w:rsidRPr="00037EAA" w:rsidRDefault="000E4BAD" w:rsidP="004516FB">
      <w:pPr>
        <w:pStyle w:val="Odstavecseseznamem"/>
        <w:numPr>
          <w:ilvl w:val="0"/>
          <w:numId w:val="6"/>
        </w:numPr>
        <w:rPr>
          <w:rFonts w:ascii="Arial" w:hAnsi="Arial" w:cs="Arial"/>
        </w:rPr>
      </w:pPr>
      <w:r w:rsidRPr="00037EAA">
        <w:rPr>
          <w:rFonts w:ascii="Arial" w:hAnsi="Arial" w:cs="Arial"/>
        </w:rPr>
        <w:t>Ostatní podmínky zadavatele</w:t>
      </w:r>
    </w:p>
    <w:p w14:paraId="29349BA1" w14:textId="62434880" w:rsidR="001E1E3B" w:rsidRPr="00037EAA" w:rsidRDefault="001E1E3B">
      <w:pPr>
        <w:rPr>
          <w:rFonts w:ascii="Arial" w:hAnsi="Arial" w:cs="Arial"/>
        </w:rPr>
      </w:pPr>
    </w:p>
    <w:p w14:paraId="4A414E9C" w14:textId="46719708" w:rsidR="001E1E3B" w:rsidRPr="00037EAA" w:rsidRDefault="001E1E3B">
      <w:pPr>
        <w:rPr>
          <w:rFonts w:ascii="Arial" w:hAnsi="Arial" w:cs="Arial"/>
        </w:rPr>
      </w:pPr>
    </w:p>
    <w:p w14:paraId="0EBBD803" w14:textId="575AB737" w:rsidR="001E1E3B" w:rsidRPr="00037EAA" w:rsidRDefault="001E1E3B">
      <w:pPr>
        <w:rPr>
          <w:rFonts w:ascii="Arial" w:hAnsi="Arial" w:cs="Arial"/>
        </w:rPr>
      </w:pPr>
    </w:p>
    <w:p w14:paraId="4E33A7CD" w14:textId="2EB92FC0" w:rsidR="001E1E3B" w:rsidRPr="00037EAA" w:rsidRDefault="001E1E3B">
      <w:pPr>
        <w:rPr>
          <w:rFonts w:ascii="Arial" w:hAnsi="Arial" w:cs="Arial"/>
        </w:rPr>
      </w:pPr>
    </w:p>
    <w:p w14:paraId="1D7B728F" w14:textId="74282D72" w:rsidR="00816205" w:rsidRPr="00037EAA" w:rsidRDefault="00816205">
      <w:pPr>
        <w:rPr>
          <w:rFonts w:ascii="Arial" w:hAnsi="Arial" w:cs="Arial"/>
        </w:rPr>
      </w:pPr>
    </w:p>
    <w:p w14:paraId="44645909" w14:textId="643F644D" w:rsidR="00C22EA2" w:rsidRPr="00037EAA" w:rsidRDefault="00C22EA2">
      <w:pPr>
        <w:rPr>
          <w:rFonts w:ascii="Arial" w:hAnsi="Arial" w:cs="Arial"/>
        </w:rPr>
      </w:pPr>
    </w:p>
    <w:p w14:paraId="6EF7D16F" w14:textId="4DFD3F06" w:rsidR="00C22EA2" w:rsidRPr="00037EAA" w:rsidRDefault="00C22EA2">
      <w:pPr>
        <w:rPr>
          <w:rFonts w:ascii="Arial" w:hAnsi="Arial" w:cs="Arial"/>
        </w:rPr>
      </w:pPr>
    </w:p>
    <w:p w14:paraId="07679A08" w14:textId="45B91CFE" w:rsidR="00C22EA2" w:rsidRPr="00037EAA" w:rsidRDefault="00C22EA2">
      <w:pPr>
        <w:rPr>
          <w:rFonts w:ascii="Arial" w:hAnsi="Arial" w:cs="Arial"/>
        </w:rPr>
      </w:pPr>
    </w:p>
    <w:p w14:paraId="699A26E5" w14:textId="77777777" w:rsidR="00C33C1A" w:rsidRPr="00037EAA" w:rsidRDefault="00C33C1A">
      <w:pPr>
        <w:rPr>
          <w:rFonts w:ascii="Arial" w:hAnsi="Arial" w:cs="Arial"/>
        </w:rPr>
      </w:pPr>
    </w:p>
    <w:p w14:paraId="23E6AAD2" w14:textId="77777777" w:rsidR="00816205" w:rsidRPr="00037EAA" w:rsidRDefault="00816205">
      <w:pPr>
        <w:rPr>
          <w:rFonts w:ascii="Arial" w:hAnsi="Arial" w:cs="Arial"/>
        </w:rPr>
      </w:pPr>
    </w:p>
    <w:p w14:paraId="1169AF25" w14:textId="77777777" w:rsidR="001E1E3B" w:rsidRPr="00037EAA" w:rsidRDefault="001E1E3B">
      <w:pPr>
        <w:rPr>
          <w:rFonts w:ascii="Arial" w:hAnsi="Arial" w:cs="Arial"/>
        </w:rPr>
      </w:pPr>
    </w:p>
    <w:p w14:paraId="29304E75" w14:textId="235B9842" w:rsidR="00390BB0" w:rsidRPr="00037EAA" w:rsidRDefault="006B7661" w:rsidP="00390BB0">
      <w:pPr>
        <w:pStyle w:val="Odstavecseseznamem"/>
        <w:numPr>
          <w:ilvl w:val="0"/>
          <w:numId w:val="1"/>
        </w:numPr>
        <w:rPr>
          <w:rFonts w:ascii="Arial" w:hAnsi="Arial" w:cs="Arial"/>
          <w:b/>
          <w:bCs/>
          <w:u w:val="single"/>
        </w:rPr>
      </w:pPr>
      <w:r w:rsidRPr="00037EAA">
        <w:rPr>
          <w:rFonts w:ascii="Arial" w:hAnsi="Arial" w:cs="Arial"/>
          <w:b/>
          <w:bCs/>
          <w:u w:val="single"/>
        </w:rPr>
        <w:t>Hlavní účel projektu</w:t>
      </w:r>
    </w:p>
    <w:p w14:paraId="0BECCE7B" w14:textId="1E70E27B" w:rsidR="006B7661" w:rsidRPr="00037EAA" w:rsidRDefault="006B7661" w:rsidP="006B7661">
      <w:pPr>
        <w:rPr>
          <w:rFonts w:ascii="Arial" w:hAnsi="Arial" w:cs="Arial"/>
        </w:rPr>
      </w:pPr>
      <w:r w:rsidRPr="00037EAA">
        <w:rPr>
          <w:rFonts w:ascii="Arial" w:hAnsi="Arial" w:cs="Arial"/>
        </w:rPr>
        <w:lastRenderedPageBreak/>
        <w:t>Hlavním účelem projektu: „Výměna stávajícího osvětlení hrací plochy a hlediště, zvýšení komfortu ovládání a úspora elektrické energie osvětlení v prostorách sportovní haly Dašická, Pardubice“</w:t>
      </w:r>
      <w:r w:rsidR="001E1E3B" w:rsidRPr="00037EAA">
        <w:rPr>
          <w:rFonts w:ascii="Arial" w:hAnsi="Arial" w:cs="Arial"/>
        </w:rPr>
        <w:t xml:space="preserve"> </w:t>
      </w:r>
      <w:r w:rsidRPr="00037EAA">
        <w:rPr>
          <w:rFonts w:ascii="Arial" w:hAnsi="Arial" w:cs="Arial"/>
        </w:rPr>
        <w:t>je:</w:t>
      </w:r>
    </w:p>
    <w:p w14:paraId="31483155" w14:textId="4A24C997" w:rsidR="006B7661" w:rsidRPr="001A55E3" w:rsidRDefault="00CA74FF" w:rsidP="006B7661">
      <w:pPr>
        <w:pStyle w:val="Odstavecseseznamem"/>
        <w:numPr>
          <w:ilvl w:val="0"/>
          <w:numId w:val="7"/>
        </w:numPr>
        <w:rPr>
          <w:rFonts w:ascii="Arial" w:hAnsi="Arial" w:cs="Arial"/>
        </w:rPr>
      </w:pPr>
      <w:r w:rsidRPr="001A55E3">
        <w:rPr>
          <w:rFonts w:ascii="Arial" w:hAnsi="Arial" w:cs="Arial"/>
        </w:rPr>
        <w:t>V</w:t>
      </w:r>
      <w:r w:rsidR="006B7661" w:rsidRPr="001A55E3">
        <w:rPr>
          <w:rFonts w:ascii="Arial" w:hAnsi="Arial" w:cs="Arial"/>
        </w:rPr>
        <w:t>ýměn</w:t>
      </w:r>
      <w:r w:rsidR="007115AD" w:rsidRPr="001A55E3">
        <w:rPr>
          <w:rFonts w:ascii="Arial" w:hAnsi="Arial" w:cs="Arial"/>
        </w:rPr>
        <w:t>a</w:t>
      </w:r>
      <w:r w:rsidR="006B7661" w:rsidRPr="001A55E3">
        <w:rPr>
          <w:rFonts w:ascii="Arial" w:hAnsi="Arial" w:cs="Arial"/>
        </w:rPr>
        <w:t xml:space="preserve"> stávajícího osvětlení hrací plochy a hlediště v rámci víceúčelové sportovní haly se zaměřením </w:t>
      </w:r>
      <w:proofErr w:type="gramStart"/>
      <w:r w:rsidR="006B7661" w:rsidRPr="001A55E3">
        <w:rPr>
          <w:rFonts w:ascii="Arial" w:hAnsi="Arial" w:cs="Arial"/>
        </w:rPr>
        <w:t>na</w:t>
      </w:r>
      <w:proofErr w:type="gramEnd"/>
      <w:r w:rsidR="006B7661" w:rsidRPr="001A55E3">
        <w:rPr>
          <w:rFonts w:ascii="Arial" w:hAnsi="Arial" w:cs="Arial"/>
        </w:rPr>
        <w:t>:</w:t>
      </w:r>
    </w:p>
    <w:p w14:paraId="7ED5F808" w14:textId="5C5B303B" w:rsidR="00313D30" w:rsidRPr="001A55E3" w:rsidRDefault="00313D30" w:rsidP="006B7661">
      <w:pPr>
        <w:pStyle w:val="Standard"/>
        <w:numPr>
          <w:ilvl w:val="0"/>
          <w:numId w:val="5"/>
        </w:numPr>
        <w:rPr>
          <w:rFonts w:ascii="Arial" w:hAnsi="Arial" w:cs="Arial"/>
          <w:sz w:val="22"/>
          <w:szCs w:val="22"/>
        </w:rPr>
      </w:pPr>
      <w:r w:rsidRPr="001A55E3">
        <w:rPr>
          <w:rFonts w:ascii="Arial" w:hAnsi="Arial" w:cs="Arial"/>
          <w:sz w:val="22"/>
          <w:szCs w:val="22"/>
        </w:rPr>
        <w:t xml:space="preserve">Vytvoření nové soustavy osvětlení s jednoznačným důrazem na splnění parametrů stanovených ČSN EN 12193 pro osvětlení sportovišť ve třídách úrovní </w:t>
      </w:r>
      <w:proofErr w:type="gramStart"/>
      <w:r w:rsidRPr="001A55E3">
        <w:rPr>
          <w:rFonts w:ascii="Arial" w:hAnsi="Arial" w:cs="Arial"/>
          <w:sz w:val="22"/>
          <w:szCs w:val="22"/>
        </w:rPr>
        <w:t>soutěží I.+II+III</w:t>
      </w:r>
      <w:proofErr w:type="gramEnd"/>
      <w:r w:rsidR="001E1E3B" w:rsidRPr="001A55E3">
        <w:rPr>
          <w:rFonts w:ascii="Arial" w:hAnsi="Arial" w:cs="Arial"/>
          <w:sz w:val="22"/>
          <w:szCs w:val="22"/>
        </w:rPr>
        <w:t xml:space="preserve">, </w:t>
      </w:r>
      <w:r w:rsidRPr="001A55E3">
        <w:rPr>
          <w:rFonts w:ascii="Arial" w:hAnsi="Arial" w:cs="Arial"/>
          <w:sz w:val="22"/>
          <w:szCs w:val="22"/>
        </w:rPr>
        <w:t>včetně</w:t>
      </w:r>
      <w:r w:rsidR="006B7661" w:rsidRPr="001A55E3">
        <w:rPr>
          <w:rFonts w:ascii="Arial" w:hAnsi="Arial" w:cs="Arial"/>
          <w:sz w:val="22"/>
          <w:szCs w:val="22"/>
        </w:rPr>
        <w:t xml:space="preserve"> t</w:t>
      </w:r>
      <w:r w:rsidRPr="001A55E3">
        <w:rPr>
          <w:rFonts w:ascii="Arial" w:hAnsi="Arial" w:cs="Arial"/>
          <w:sz w:val="22"/>
          <w:szCs w:val="22"/>
        </w:rPr>
        <w:t>elevizních přenosů pro preferované sporty basketbal, florbal a házená.</w:t>
      </w:r>
    </w:p>
    <w:p w14:paraId="6524738D" w14:textId="0146FAB1" w:rsidR="00313D30" w:rsidRPr="001A55E3" w:rsidRDefault="00313D30" w:rsidP="00313D30">
      <w:pPr>
        <w:pStyle w:val="Standard"/>
        <w:numPr>
          <w:ilvl w:val="0"/>
          <w:numId w:val="5"/>
        </w:numPr>
        <w:rPr>
          <w:rFonts w:ascii="Arial" w:hAnsi="Arial" w:cs="Arial"/>
          <w:sz w:val="22"/>
          <w:szCs w:val="22"/>
        </w:rPr>
      </w:pPr>
      <w:r w:rsidRPr="001A55E3">
        <w:rPr>
          <w:rFonts w:ascii="Arial" w:hAnsi="Arial" w:cs="Arial"/>
          <w:sz w:val="22"/>
          <w:szCs w:val="22"/>
        </w:rPr>
        <w:t xml:space="preserve">zvýšení </w:t>
      </w:r>
      <w:r w:rsidR="004516FB" w:rsidRPr="001A55E3">
        <w:rPr>
          <w:rFonts w:ascii="Arial" w:hAnsi="Arial" w:cs="Arial"/>
          <w:sz w:val="22"/>
          <w:szCs w:val="22"/>
        </w:rPr>
        <w:t xml:space="preserve">komfortu </w:t>
      </w:r>
      <w:r w:rsidRPr="001A55E3">
        <w:rPr>
          <w:rFonts w:ascii="Arial" w:hAnsi="Arial" w:cs="Arial"/>
          <w:sz w:val="22"/>
          <w:szCs w:val="22"/>
        </w:rPr>
        <w:t xml:space="preserve">ovládání </w:t>
      </w:r>
      <w:r w:rsidR="004516FB" w:rsidRPr="001A55E3">
        <w:rPr>
          <w:rFonts w:ascii="Arial" w:hAnsi="Arial" w:cs="Arial"/>
          <w:sz w:val="22"/>
          <w:szCs w:val="22"/>
        </w:rPr>
        <w:t xml:space="preserve">osvětlení </w:t>
      </w:r>
      <w:r w:rsidRPr="001A55E3">
        <w:rPr>
          <w:rFonts w:ascii="Arial" w:hAnsi="Arial" w:cs="Arial"/>
          <w:sz w:val="22"/>
          <w:szCs w:val="22"/>
        </w:rPr>
        <w:t>s požadavkem na plynulé stmívání a nastavení rozdílné intenzity svítidel hlavního osvětlení pro vybran</w:t>
      </w:r>
      <w:r w:rsidR="004516FB" w:rsidRPr="001A55E3">
        <w:rPr>
          <w:rFonts w:ascii="Arial" w:hAnsi="Arial" w:cs="Arial"/>
          <w:sz w:val="22"/>
          <w:szCs w:val="22"/>
        </w:rPr>
        <w:t>é</w:t>
      </w:r>
      <w:r w:rsidRPr="001A55E3">
        <w:rPr>
          <w:rFonts w:ascii="Arial" w:hAnsi="Arial" w:cs="Arial"/>
          <w:sz w:val="22"/>
          <w:szCs w:val="22"/>
        </w:rPr>
        <w:t xml:space="preserve"> sektor</w:t>
      </w:r>
      <w:r w:rsidR="004516FB" w:rsidRPr="001A55E3">
        <w:rPr>
          <w:rFonts w:ascii="Arial" w:hAnsi="Arial" w:cs="Arial"/>
          <w:sz w:val="22"/>
          <w:szCs w:val="22"/>
        </w:rPr>
        <w:t>y</w:t>
      </w:r>
      <w:r w:rsidRPr="001A55E3">
        <w:rPr>
          <w:rFonts w:ascii="Arial" w:hAnsi="Arial" w:cs="Arial"/>
          <w:sz w:val="22"/>
          <w:szCs w:val="22"/>
        </w:rPr>
        <w:t xml:space="preserve"> plochy sportoviště.</w:t>
      </w:r>
    </w:p>
    <w:p w14:paraId="1B0C1931" w14:textId="6493DE06" w:rsidR="004516FB" w:rsidRPr="001A55E3" w:rsidRDefault="004516FB" w:rsidP="00313D30">
      <w:pPr>
        <w:pStyle w:val="Standard"/>
        <w:numPr>
          <w:ilvl w:val="0"/>
          <w:numId w:val="5"/>
        </w:numPr>
        <w:rPr>
          <w:rFonts w:ascii="Arial" w:hAnsi="Arial" w:cs="Arial"/>
          <w:sz w:val="22"/>
          <w:szCs w:val="22"/>
        </w:rPr>
      </w:pPr>
      <w:r w:rsidRPr="001A55E3">
        <w:rPr>
          <w:rFonts w:ascii="Arial" w:hAnsi="Arial" w:cs="Arial"/>
          <w:sz w:val="22"/>
          <w:szCs w:val="22"/>
        </w:rPr>
        <w:t>Provázanost ovládání osvětlení sportoviště a sklápění košů pro basketbal</w:t>
      </w:r>
    </w:p>
    <w:p w14:paraId="17B98411" w14:textId="3F682826" w:rsidR="006B7661" w:rsidRPr="001A55E3" w:rsidRDefault="006B7661" w:rsidP="00313D30">
      <w:pPr>
        <w:pStyle w:val="Standard"/>
        <w:numPr>
          <w:ilvl w:val="0"/>
          <w:numId w:val="5"/>
        </w:numPr>
        <w:rPr>
          <w:rFonts w:ascii="Arial" w:hAnsi="Arial" w:cs="Arial"/>
          <w:sz w:val="22"/>
          <w:szCs w:val="22"/>
        </w:rPr>
      </w:pPr>
      <w:r w:rsidRPr="001A55E3">
        <w:rPr>
          <w:rFonts w:ascii="Arial" w:hAnsi="Arial" w:cs="Arial"/>
          <w:sz w:val="22"/>
          <w:szCs w:val="22"/>
        </w:rPr>
        <w:t>Možnost vzdálené diagnostiky</w:t>
      </w:r>
      <w:r w:rsidR="001E1E3B" w:rsidRPr="001A55E3">
        <w:rPr>
          <w:rFonts w:ascii="Arial" w:hAnsi="Arial" w:cs="Arial"/>
          <w:sz w:val="22"/>
          <w:szCs w:val="22"/>
        </w:rPr>
        <w:t xml:space="preserve">, provozních stavů </w:t>
      </w:r>
      <w:r w:rsidRPr="001A55E3">
        <w:rPr>
          <w:rFonts w:ascii="Arial" w:hAnsi="Arial" w:cs="Arial"/>
          <w:sz w:val="22"/>
          <w:szCs w:val="22"/>
        </w:rPr>
        <w:t>jednotlivých svítidel</w:t>
      </w:r>
      <w:r w:rsidR="001E1E3B" w:rsidRPr="001A55E3">
        <w:rPr>
          <w:rFonts w:ascii="Arial" w:hAnsi="Arial" w:cs="Arial"/>
          <w:sz w:val="22"/>
          <w:szCs w:val="22"/>
        </w:rPr>
        <w:t xml:space="preserve"> nad hrací plochou</w:t>
      </w:r>
    </w:p>
    <w:p w14:paraId="441935C9" w14:textId="128C033B" w:rsidR="00313D30" w:rsidRPr="001A55E3" w:rsidRDefault="00313D30" w:rsidP="00313D30">
      <w:pPr>
        <w:pStyle w:val="Standard"/>
        <w:numPr>
          <w:ilvl w:val="0"/>
          <w:numId w:val="5"/>
        </w:numPr>
        <w:rPr>
          <w:rFonts w:ascii="Arial" w:hAnsi="Arial" w:cs="Arial"/>
          <w:sz w:val="22"/>
          <w:szCs w:val="22"/>
        </w:rPr>
      </w:pPr>
      <w:r w:rsidRPr="001A55E3">
        <w:rPr>
          <w:rFonts w:ascii="Arial" w:hAnsi="Arial" w:cs="Arial"/>
          <w:sz w:val="22"/>
          <w:szCs w:val="22"/>
        </w:rPr>
        <w:t>snížení provozních nákladu.</w:t>
      </w:r>
    </w:p>
    <w:p w14:paraId="77E4B158" w14:textId="36B4D461" w:rsidR="00313D30" w:rsidRPr="001A55E3" w:rsidRDefault="00313D30" w:rsidP="00313D30">
      <w:pPr>
        <w:pStyle w:val="Standard"/>
        <w:numPr>
          <w:ilvl w:val="0"/>
          <w:numId w:val="5"/>
        </w:numPr>
        <w:rPr>
          <w:rFonts w:ascii="Arial" w:hAnsi="Arial" w:cs="Arial"/>
          <w:sz w:val="22"/>
          <w:szCs w:val="22"/>
        </w:rPr>
      </w:pPr>
      <w:r w:rsidRPr="001A55E3">
        <w:rPr>
          <w:rFonts w:ascii="Arial" w:hAnsi="Arial" w:cs="Arial"/>
          <w:sz w:val="22"/>
          <w:szCs w:val="22"/>
        </w:rPr>
        <w:t>snížení nákladů na údržbu.</w:t>
      </w:r>
    </w:p>
    <w:p w14:paraId="61C7B36F" w14:textId="78260794" w:rsidR="004516FB" w:rsidRPr="001A55E3" w:rsidRDefault="00313D30" w:rsidP="004516FB">
      <w:pPr>
        <w:pStyle w:val="Standard"/>
        <w:numPr>
          <w:ilvl w:val="0"/>
          <w:numId w:val="5"/>
        </w:numPr>
        <w:rPr>
          <w:rFonts w:ascii="Arial" w:hAnsi="Arial" w:cs="Arial"/>
          <w:sz w:val="22"/>
          <w:szCs w:val="22"/>
        </w:rPr>
      </w:pPr>
      <w:r w:rsidRPr="001A55E3">
        <w:rPr>
          <w:rFonts w:ascii="Arial" w:hAnsi="Arial" w:cs="Arial"/>
          <w:sz w:val="22"/>
          <w:szCs w:val="22"/>
        </w:rPr>
        <w:t>zvýšení životnosti svítidel a světelných zdrojů</w:t>
      </w:r>
      <w:r w:rsidRPr="001A55E3">
        <w:rPr>
          <w:rFonts w:ascii="Arial" w:hAnsi="Arial" w:cs="Arial"/>
          <w:b/>
          <w:bCs/>
          <w:sz w:val="22"/>
          <w:szCs w:val="22"/>
        </w:rPr>
        <w:t>.</w:t>
      </w:r>
    </w:p>
    <w:p w14:paraId="65FDC195" w14:textId="77777777" w:rsidR="001E1E3B" w:rsidRPr="001A55E3" w:rsidRDefault="001E1E3B" w:rsidP="001E1E3B">
      <w:pPr>
        <w:pStyle w:val="Standard"/>
        <w:rPr>
          <w:rFonts w:ascii="Arial" w:hAnsi="Arial" w:cs="Arial"/>
          <w:sz w:val="22"/>
          <w:szCs w:val="22"/>
        </w:rPr>
      </w:pPr>
    </w:p>
    <w:p w14:paraId="4ED331F7" w14:textId="57A052DB" w:rsidR="001E1E3B" w:rsidRPr="001A55E3" w:rsidRDefault="001E1E3B" w:rsidP="001E1E3B">
      <w:pPr>
        <w:pStyle w:val="Standard"/>
        <w:numPr>
          <w:ilvl w:val="0"/>
          <w:numId w:val="7"/>
        </w:numPr>
        <w:rPr>
          <w:rFonts w:ascii="Arial" w:hAnsi="Arial" w:cs="Arial"/>
          <w:sz w:val="22"/>
          <w:szCs w:val="22"/>
        </w:rPr>
      </w:pPr>
      <w:r w:rsidRPr="001A55E3">
        <w:rPr>
          <w:rFonts w:ascii="Arial" w:hAnsi="Arial" w:cs="Arial"/>
          <w:sz w:val="22"/>
          <w:szCs w:val="22"/>
        </w:rPr>
        <w:t>Zvýšení komfortu ovládání svítidel, který spočívá v:</w:t>
      </w:r>
    </w:p>
    <w:p w14:paraId="3C9787D5" w14:textId="77777777" w:rsidR="001E1E3B" w:rsidRPr="001A55E3" w:rsidRDefault="001E1E3B" w:rsidP="001E1E3B">
      <w:pPr>
        <w:pStyle w:val="Standard"/>
        <w:rPr>
          <w:rFonts w:ascii="Arial" w:hAnsi="Arial" w:cs="Arial"/>
          <w:sz w:val="22"/>
          <w:szCs w:val="22"/>
        </w:rPr>
      </w:pPr>
    </w:p>
    <w:p w14:paraId="6F824738" w14:textId="55D7B27A" w:rsidR="001E1E3B" w:rsidRPr="001A55E3" w:rsidRDefault="001E1E3B" w:rsidP="001E1E3B">
      <w:pPr>
        <w:pStyle w:val="Standard"/>
        <w:numPr>
          <w:ilvl w:val="0"/>
          <w:numId w:val="8"/>
        </w:numPr>
        <w:rPr>
          <w:rFonts w:ascii="Arial" w:hAnsi="Arial" w:cs="Arial"/>
          <w:sz w:val="22"/>
          <w:szCs w:val="22"/>
        </w:rPr>
      </w:pPr>
      <w:r w:rsidRPr="001A55E3">
        <w:rPr>
          <w:rFonts w:ascii="Arial" w:hAnsi="Arial" w:cs="Arial"/>
          <w:sz w:val="22"/>
          <w:szCs w:val="22"/>
        </w:rPr>
        <w:t>možnosti nastavení scén</w:t>
      </w:r>
      <w:r w:rsidR="009B38EE" w:rsidRPr="001A55E3">
        <w:rPr>
          <w:rFonts w:ascii="Arial" w:hAnsi="Arial" w:cs="Arial"/>
          <w:sz w:val="22"/>
          <w:szCs w:val="22"/>
        </w:rPr>
        <w:t xml:space="preserve"> osvětlení v hledišti a na hrací ploše pro jednotlivé sporty minimálně na úrovni trénink, utkání, televizní přenos, vyhlášení výsledků (předdefinované scény)</w:t>
      </w:r>
    </w:p>
    <w:p w14:paraId="194B3B7C" w14:textId="4D4DE60C" w:rsidR="009B38EE" w:rsidRPr="001A55E3" w:rsidRDefault="009B38EE" w:rsidP="001E1E3B">
      <w:pPr>
        <w:pStyle w:val="Standard"/>
        <w:numPr>
          <w:ilvl w:val="0"/>
          <w:numId w:val="8"/>
        </w:numPr>
        <w:rPr>
          <w:rFonts w:ascii="Arial" w:hAnsi="Arial" w:cs="Arial"/>
          <w:sz w:val="22"/>
          <w:szCs w:val="22"/>
        </w:rPr>
      </w:pPr>
      <w:r w:rsidRPr="001A55E3">
        <w:rPr>
          <w:rFonts w:ascii="Arial" w:hAnsi="Arial" w:cs="Arial"/>
          <w:sz w:val="22"/>
          <w:szCs w:val="22"/>
        </w:rPr>
        <w:t>možnosti nastavení uživatelských scén</w:t>
      </w:r>
      <w:r w:rsidR="00F04E57" w:rsidRPr="001A55E3">
        <w:rPr>
          <w:rFonts w:ascii="Arial" w:hAnsi="Arial" w:cs="Arial"/>
          <w:sz w:val="22"/>
          <w:szCs w:val="22"/>
        </w:rPr>
        <w:t>, tj. možnost nastavení scén uživatelem, které bude mít možnost následně i měnit</w:t>
      </w:r>
    </w:p>
    <w:p w14:paraId="07DC4180" w14:textId="27C98E0A" w:rsidR="00437892" w:rsidRPr="001A55E3" w:rsidRDefault="00437892" w:rsidP="00437892">
      <w:pPr>
        <w:pStyle w:val="Standard"/>
        <w:rPr>
          <w:rFonts w:ascii="Arial" w:hAnsi="Arial" w:cs="Arial"/>
          <w:sz w:val="22"/>
          <w:szCs w:val="22"/>
        </w:rPr>
      </w:pPr>
    </w:p>
    <w:p w14:paraId="7A5AD47F" w14:textId="2A222B93" w:rsidR="00437892" w:rsidRPr="001A55E3" w:rsidRDefault="00437892" w:rsidP="00437892">
      <w:pPr>
        <w:pStyle w:val="Standard"/>
        <w:numPr>
          <w:ilvl w:val="0"/>
          <w:numId w:val="7"/>
        </w:numPr>
        <w:rPr>
          <w:rFonts w:ascii="Arial" w:hAnsi="Arial" w:cs="Arial"/>
          <w:sz w:val="22"/>
          <w:szCs w:val="22"/>
        </w:rPr>
      </w:pPr>
      <w:r w:rsidRPr="001A55E3">
        <w:rPr>
          <w:rFonts w:ascii="Arial" w:hAnsi="Arial" w:cs="Arial"/>
          <w:sz w:val="22"/>
          <w:szCs w:val="22"/>
        </w:rPr>
        <w:t>Dálková správa a servis</w:t>
      </w:r>
    </w:p>
    <w:p w14:paraId="44F3688E" w14:textId="48FEFA6F" w:rsidR="00437892" w:rsidRPr="001A55E3" w:rsidRDefault="00437892" w:rsidP="00437892">
      <w:pPr>
        <w:pStyle w:val="Standard"/>
        <w:rPr>
          <w:rFonts w:ascii="Arial" w:hAnsi="Arial" w:cs="Arial"/>
          <w:sz w:val="22"/>
          <w:szCs w:val="22"/>
        </w:rPr>
      </w:pPr>
    </w:p>
    <w:p w14:paraId="78DA4EE9" w14:textId="18C4BFAB" w:rsidR="00437892" w:rsidRPr="001A55E3" w:rsidRDefault="00437892" w:rsidP="00437892">
      <w:pPr>
        <w:pStyle w:val="Standard"/>
        <w:numPr>
          <w:ilvl w:val="0"/>
          <w:numId w:val="12"/>
        </w:numPr>
        <w:rPr>
          <w:rFonts w:ascii="Arial" w:hAnsi="Arial" w:cs="Arial"/>
          <w:sz w:val="22"/>
          <w:szCs w:val="22"/>
        </w:rPr>
      </w:pPr>
      <w:r w:rsidRPr="001A55E3">
        <w:rPr>
          <w:rFonts w:ascii="Arial" w:hAnsi="Arial" w:cs="Arial"/>
          <w:sz w:val="22"/>
          <w:szCs w:val="22"/>
        </w:rPr>
        <w:t>systém bude umožňovat vzdálenou správu a kontrolu svítidel</w:t>
      </w:r>
    </w:p>
    <w:p w14:paraId="4EF9C894" w14:textId="3D5A73EA" w:rsidR="00437892" w:rsidRPr="001A55E3" w:rsidRDefault="00437892" w:rsidP="00437892">
      <w:pPr>
        <w:pStyle w:val="Standard"/>
        <w:numPr>
          <w:ilvl w:val="0"/>
          <w:numId w:val="12"/>
        </w:numPr>
        <w:rPr>
          <w:rFonts w:ascii="Arial" w:hAnsi="Arial" w:cs="Arial"/>
          <w:sz w:val="22"/>
          <w:szCs w:val="22"/>
        </w:rPr>
      </w:pPr>
      <w:r w:rsidRPr="001A55E3">
        <w:rPr>
          <w:rFonts w:ascii="Arial" w:hAnsi="Arial" w:cs="Arial"/>
          <w:sz w:val="22"/>
          <w:szCs w:val="22"/>
        </w:rPr>
        <w:t>pro servisní účely bude dodán i soubor potřebných napaječů a předřadníků</w:t>
      </w:r>
    </w:p>
    <w:p w14:paraId="521DB1C5" w14:textId="5839C3A2" w:rsidR="00437892" w:rsidRPr="001A55E3" w:rsidRDefault="00437892" w:rsidP="00437892">
      <w:pPr>
        <w:pStyle w:val="Standard"/>
        <w:rPr>
          <w:rFonts w:ascii="Arial" w:hAnsi="Arial" w:cs="Arial"/>
          <w:sz w:val="22"/>
          <w:szCs w:val="22"/>
        </w:rPr>
      </w:pPr>
    </w:p>
    <w:p w14:paraId="3B12FB5D" w14:textId="0EE4F539" w:rsidR="00437892" w:rsidRPr="001A55E3" w:rsidRDefault="007115AD" w:rsidP="00437892">
      <w:pPr>
        <w:pStyle w:val="Standard"/>
        <w:numPr>
          <w:ilvl w:val="0"/>
          <w:numId w:val="7"/>
        </w:numPr>
        <w:rPr>
          <w:rFonts w:ascii="Arial" w:hAnsi="Arial" w:cs="Arial"/>
          <w:sz w:val="22"/>
          <w:szCs w:val="22"/>
        </w:rPr>
      </w:pPr>
      <w:r w:rsidRPr="001A55E3">
        <w:rPr>
          <w:rFonts w:ascii="Arial" w:hAnsi="Arial" w:cs="Arial"/>
          <w:sz w:val="22"/>
          <w:szCs w:val="22"/>
        </w:rPr>
        <w:t>Energie a náklady</w:t>
      </w:r>
    </w:p>
    <w:p w14:paraId="2FA46DE2" w14:textId="521856EF" w:rsidR="00437892" w:rsidRPr="001A55E3" w:rsidRDefault="00437892" w:rsidP="00437892">
      <w:pPr>
        <w:pStyle w:val="Standard"/>
        <w:ind w:left="1067"/>
        <w:rPr>
          <w:rFonts w:ascii="Arial" w:hAnsi="Arial" w:cs="Arial"/>
          <w:sz w:val="22"/>
          <w:szCs w:val="22"/>
        </w:rPr>
      </w:pPr>
    </w:p>
    <w:p w14:paraId="0ACBF4E1" w14:textId="3E107201" w:rsidR="00437892" w:rsidRPr="001A55E3" w:rsidRDefault="007115AD" w:rsidP="00437892">
      <w:pPr>
        <w:pStyle w:val="Standard"/>
        <w:numPr>
          <w:ilvl w:val="0"/>
          <w:numId w:val="13"/>
        </w:numPr>
        <w:rPr>
          <w:rFonts w:ascii="Arial" w:hAnsi="Arial" w:cs="Arial"/>
          <w:sz w:val="22"/>
          <w:szCs w:val="22"/>
        </w:rPr>
      </w:pPr>
      <w:r w:rsidRPr="001A55E3">
        <w:rPr>
          <w:rFonts w:ascii="Arial" w:hAnsi="Arial" w:cs="Arial"/>
          <w:sz w:val="22"/>
          <w:szCs w:val="22"/>
        </w:rPr>
        <w:t>Snížení odběru elektrické energie</w:t>
      </w:r>
    </w:p>
    <w:p w14:paraId="17F271FF" w14:textId="65A6DEFE" w:rsidR="007115AD" w:rsidRPr="001A55E3" w:rsidRDefault="007115AD" w:rsidP="00437892">
      <w:pPr>
        <w:pStyle w:val="Standard"/>
        <w:numPr>
          <w:ilvl w:val="0"/>
          <w:numId w:val="13"/>
        </w:numPr>
        <w:rPr>
          <w:rFonts w:ascii="Arial" w:hAnsi="Arial" w:cs="Arial"/>
          <w:sz w:val="22"/>
          <w:szCs w:val="22"/>
        </w:rPr>
      </w:pPr>
      <w:r w:rsidRPr="001A55E3">
        <w:rPr>
          <w:rFonts w:ascii="Arial" w:hAnsi="Arial" w:cs="Arial"/>
          <w:sz w:val="22"/>
          <w:szCs w:val="22"/>
        </w:rPr>
        <w:t xml:space="preserve">Snížení nákladů na údržbu </w:t>
      </w:r>
    </w:p>
    <w:p w14:paraId="4DC5A76A" w14:textId="2238EB33" w:rsidR="007115AD" w:rsidRPr="001A55E3" w:rsidRDefault="007115AD" w:rsidP="00437892">
      <w:pPr>
        <w:pStyle w:val="Standard"/>
        <w:numPr>
          <w:ilvl w:val="0"/>
          <w:numId w:val="13"/>
        </w:numPr>
        <w:rPr>
          <w:rFonts w:ascii="Arial" w:hAnsi="Arial" w:cs="Arial"/>
          <w:sz w:val="22"/>
          <w:szCs w:val="22"/>
        </w:rPr>
      </w:pPr>
      <w:r w:rsidRPr="001A55E3">
        <w:rPr>
          <w:rFonts w:ascii="Arial" w:hAnsi="Arial" w:cs="Arial"/>
          <w:sz w:val="22"/>
          <w:szCs w:val="22"/>
        </w:rPr>
        <w:t>Zvýšení životnosti svítidel a světelných zdrojů</w:t>
      </w:r>
    </w:p>
    <w:p w14:paraId="48431E13" w14:textId="51E5A986" w:rsidR="009B38EE" w:rsidRPr="001A55E3" w:rsidRDefault="009B38EE" w:rsidP="009B38EE">
      <w:pPr>
        <w:pStyle w:val="Standard"/>
        <w:rPr>
          <w:rFonts w:ascii="Arial" w:hAnsi="Arial" w:cs="Arial"/>
          <w:sz w:val="22"/>
          <w:szCs w:val="22"/>
        </w:rPr>
      </w:pPr>
    </w:p>
    <w:p w14:paraId="72A565B9" w14:textId="35A492F7" w:rsidR="009B38EE" w:rsidRPr="001A55E3" w:rsidRDefault="009B38EE" w:rsidP="009B38EE">
      <w:pPr>
        <w:pStyle w:val="Standard"/>
        <w:numPr>
          <w:ilvl w:val="0"/>
          <w:numId w:val="7"/>
        </w:numPr>
        <w:rPr>
          <w:rFonts w:ascii="Arial" w:hAnsi="Arial" w:cs="Arial"/>
          <w:sz w:val="22"/>
          <w:szCs w:val="22"/>
        </w:rPr>
      </w:pPr>
      <w:r w:rsidRPr="001A55E3">
        <w:rPr>
          <w:rFonts w:ascii="Arial" w:hAnsi="Arial" w:cs="Arial"/>
          <w:sz w:val="22"/>
          <w:szCs w:val="22"/>
        </w:rPr>
        <w:t>Provázanost mezi jednotlivými technologiemi</w:t>
      </w:r>
    </w:p>
    <w:p w14:paraId="05A6CF26" w14:textId="6B6587DE" w:rsidR="009B38EE" w:rsidRPr="001A55E3" w:rsidRDefault="009B38EE" w:rsidP="009B38EE">
      <w:pPr>
        <w:pStyle w:val="Standard"/>
        <w:rPr>
          <w:rFonts w:ascii="Arial" w:hAnsi="Arial" w:cs="Arial"/>
          <w:sz w:val="22"/>
          <w:szCs w:val="22"/>
        </w:rPr>
      </w:pPr>
    </w:p>
    <w:p w14:paraId="311A5027" w14:textId="668E283A" w:rsidR="009B38EE" w:rsidRPr="001A55E3" w:rsidRDefault="009B38EE" w:rsidP="009B38EE">
      <w:pPr>
        <w:pStyle w:val="Standard"/>
        <w:numPr>
          <w:ilvl w:val="0"/>
          <w:numId w:val="11"/>
        </w:numPr>
        <w:rPr>
          <w:rFonts w:ascii="Arial" w:hAnsi="Arial" w:cs="Arial"/>
          <w:sz w:val="22"/>
          <w:szCs w:val="22"/>
        </w:rPr>
      </w:pPr>
      <w:r w:rsidRPr="001A55E3">
        <w:rPr>
          <w:rFonts w:ascii="Arial" w:hAnsi="Arial" w:cs="Arial"/>
          <w:sz w:val="22"/>
          <w:szCs w:val="22"/>
        </w:rPr>
        <w:t>Provázanost mezi osvětlením hrací plochy a sklápěním košů</w:t>
      </w:r>
    </w:p>
    <w:p w14:paraId="76AA3273" w14:textId="5A6145E9" w:rsidR="00437892" w:rsidRPr="001A55E3" w:rsidRDefault="00437892" w:rsidP="00437892">
      <w:pPr>
        <w:pStyle w:val="Standard"/>
        <w:rPr>
          <w:rFonts w:ascii="Arial" w:hAnsi="Arial" w:cs="Arial"/>
          <w:sz w:val="22"/>
          <w:szCs w:val="22"/>
        </w:rPr>
      </w:pPr>
    </w:p>
    <w:p w14:paraId="60C3E9A3" w14:textId="77777777" w:rsidR="00437892" w:rsidRPr="00037EAA" w:rsidRDefault="00437892" w:rsidP="00437892">
      <w:pPr>
        <w:pStyle w:val="Standard"/>
        <w:rPr>
          <w:rFonts w:ascii="Arial" w:hAnsi="Arial" w:cs="Arial"/>
          <w:sz w:val="20"/>
          <w:szCs w:val="20"/>
        </w:rPr>
      </w:pPr>
    </w:p>
    <w:p w14:paraId="13F68EDD" w14:textId="68ABF7F5" w:rsidR="00437892" w:rsidRPr="00037EAA" w:rsidRDefault="002F265E" w:rsidP="00437892">
      <w:pPr>
        <w:pStyle w:val="Standard"/>
        <w:numPr>
          <w:ilvl w:val="0"/>
          <w:numId w:val="1"/>
        </w:numPr>
        <w:rPr>
          <w:rFonts w:ascii="Arial" w:eastAsiaTheme="minorHAnsi" w:hAnsi="Arial" w:cs="Arial"/>
          <w:b/>
          <w:bCs/>
          <w:kern w:val="0"/>
          <w:sz w:val="22"/>
          <w:szCs w:val="22"/>
          <w:u w:val="single"/>
          <w:lang w:eastAsia="en-US" w:bidi="ar-SA"/>
        </w:rPr>
      </w:pPr>
      <w:r w:rsidRPr="00037EAA">
        <w:rPr>
          <w:rFonts w:ascii="Arial" w:eastAsiaTheme="minorHAnsi" w:hAnsi="Arial" w:cs="Arial"/>
          <w:b/>
          <w:bCs/>
          <w:kern w:val="0"/>
          <w:sz w:val="22"/>
          <w:szCs w:val="22"/>
          <w:u w:val="single"/>
          <w:lang w:eastAsia="en-US" w:bidi="ar-SA"/>
        </w:rPr>
        <w:t>Popis a rozsah projektu</w:t>
      </w:r>
    </w:p>
    <w:p w14:paraId="77B4FBD2" w14:textId="752D8D90" w:rsidR="00437892" w:rsidRPr="00037EAA" w:rsidRDefault="00437892" w:rsidP="00437892">
      <w:pPr>
        <w:pStyle w:val="Standard"/>
        <w:rPr>
          <w:rFonts w:ascii="Arial" w:eastAsiaTheme="minorHAnsi" w:hAnsi="Arial" w:cs="Arial"/>
          <w:b/>
          <w:bCs/>
          <w:kern w:val="0"/>
          <w:sz w:val="22"/>
          <w:szCs w:val="22"/>
          <w:u w:val="single"/>
          <w:lang w:eastAsia="en-US" w:bidi="ar-SA"/>
        </w:rPr>
      </w:pPr>
    </w:p>
    <w:p w14:paraId="3F8ADBA9" w14:textId="00568103" w:rsidR="004C37D5" w:rsidRPr="00037EAA" w:rsidRDefault="00437892" w:rsidP="00437892">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Celý projekt </w:t>
      </w:r>
      <w:r w:rsidR="007115AD" w:rsidRPr="00037EAA">
        <w:rPr>
          <w:rFonts w:ascii="Arial" w:eastAsiaTheme="minorHAnsi" w:hAnsi="Arial" w:cs="Arial"/>
          <w:kern w:val="0"/>
          <w:sz w:val="22"/>
          <w:szCs w:val="22"/>
          <w:lang w:eastAsia="en-US" w:bidi="ar-SA"/>
        </w:rPr>
        <w:t xml:space="preserve">výměny osvětlení hrací plochy a hlediště v prostoru sportovní haly Dašická, Pardubice spočívá ve výměně a doplnění stávajících svítidel, která jsou nevyhovující pro </w:t>
      </w:r>
      <w:r w:rsidR="004C37D5" w:rsidRPr="00037EAA">
        <w:rPr>
          <w:rFonts w:ascii="Arial" w:eastAsiaTheme="minorHAnsi" w:hAnsi="Arial" w:cs="Arial"/>
          <w:kern w:val="0"/>
          <w:sz w:val="22"/>
          <w:szCs w:val="22"/>
          <w:lang w:eastAsia="en-US" w:bidi="ar-SA"/>
        </w:rPr>
        <w:t xml:space="preserve">aktuální potřeby sportovní haly. Sportovní hala je využívána pro širokou škálu sportů, kde nejvíce preferovanými sporty jsou florbal, basketbal a házená. </w:t>
      </w:r>
    </w:p>
    <w:p w14:paraId="67349B46" w14:textId="6835C80F" w:rsidR="004C37D5" w:rsidRPr="00037EAA" w:rsidRDefault="004C37D5" w:rsidP="00437892">
      <w:pPr>
        <w:pStyle w:val="Standard"/>
        <w:rPr>
          <w:rFonts w:ascii="Arial" w:eastAsiaTheme="minorHAnsi" w:hAnsi="Arial" w:cs="Arial"/>
          <w:kern w:val="0"/>
          <w:sz w:val="22"/>
          <w:szCs w:val="22"/>
          <w:lang w:eastAsia="en-US" w:bidi="ar-SA"/>
        </w:rPr>
      </w:pPr>
    </w:p>
    <w:p w14:paraId="3FB3BA6B" w14:textId="5F92074E" w:rsidR="004C37D5" w:rsidRPr="00037EAA" w:rsidRDefault="00F04E57" w:rsidP="00437892">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lastRenderedPageBreak/>
        <w:t>Pro vypracování návrhu požadovaného technického standardu osvětlení a pro potřeby výpočtů byla použita následující svítidla:</w:t>
      </w:r>
    </w:p>
    <w:p w14:paraId="471A85F6" w14:textId="77777777" w:rsidR="00F04E57" w:rsidRPr="00037EAA" w:rsidRDefault="00F04E57" w:rsidP="00437892">
      <w:pPr>
        <w:pStyle w:val="Standard"/>
        <w:rPr>
          <w:rFonts w:ascii="Arial" w:eastAsiaTheme="minorHAnsi" w:hAnsi="Arial" w:cs="Arial"/>
          <w:kern w:val="0"/>
          <w:sz w:val="22"/>
          <w:szCs w:val="22"/>
          <w:lang w:eastAsia="en-US" w:bidi="ar-SA"/>
        </w:rPr>
      </w:pPr>
    </w:p>
    <w:p w14:paraId="5A7C458A" w14:textId="54880EAE" w:rsidR="00064E1D" w:rsidRPr="00037EAA" w:rsidRDefault="00064E1D" w:rsidP="00064E1D">
      <w:pPr>
        <w:pStyle w:val="Standard"/>
        <w:rPr>
          <w:rFonts w:ascii="Arial" w:hAnsi="Arial" w:cs="Arial"/>
          <w:b/>
          <w:bCs/>
          <w:sz w:val="22"/>
          <w:szCs w:val="22"/>
          <w:u w:val="single"/>
        </w:rPr>
      </w:pPr>
      <w:r w:rsidRPr="00037EAA">
        <w:rPr>
          <w:rFonts w:ascii="Arial" w:hAnsi="Arial" w:cs="Arial"/>
          <w:b/>
          <w:bCs/>
          <w:sz w:val="22"/>
          <w:szCs w:val="22"/>
          <w:u w:val="single"/>
        </w:rPr>
        <w:t>Pro návrh osvětlení hrací plochy bylo použito svítidel:</w:t>
      </w:r>
    </w:p>
    <w:p w14:paraId="3A710B58" w14:textId="77777777" w:rsidR="00064E1D" w:rsidRPr="00037EAA" w:rsidRDefault="00064E1D" w:rsidP="004C37D5">
      <w:pPr>
        <w:pStyle w:val="Standard"/>
        <w:rPr>
          <w:rFonts w:ascii="Arial" w:hAnsi="Arial" w:cs="Arial"/>
          <w:b/>
          <w:bCs/>
          <w:sz w:val="22"/>
          <w:szCs w:val="22"/>
        </w:rPr>
      </w:pPr>
    </w:p>
    <w:p w14:paraId="4BAC3798" w14:textId="45DFEC17" w:rsidR="004C37D5" w:rsidRPr="00037EAA" w:rsidRDefault="004C37D5" w:rsidP="004C37D5">
      <w:pPr>
        <w:pStyle w:val="Standard"/>
        <w:rPr>
          <w:rFonts w:ascii="Arial" w:hAnsi="Arial" w:cs="Arial"/>
          <w:b/>
          <w:bCs/>
          <w:sz w:val="22"/>
          <w:szCs w:val="22"/>
        </w:rPr>
      </w:pPr>
      <w:r w:rsidRPr="00037EAA">
        <w:rPr>
          <w:rFonts w:ascii="Arial" w:hAnsi="Arial" w:cs="Arial"/>
          <w:b/>
          <w:bCs/>
          <w:sz w:val="22"/>
          <w:szCs w:val="22"/>
        </w:rPr>
        <w:t>Svítidlo - typ A – reflektorové svítidlo o příkonu 200W</w:t>
      </w:r>
    </w:p>
    <w:p w14:paraId="28DDAB6B" w14:textId="77777777" w:rsidR="004C37D5" w:rsidRPr="00037EAA" w:rsidRDefault="004C37D5" w:rsidP="004C37D5">
      <w:pPr>
        <w:pStyle w:val="Standard"/>
        <w:rPr>
          <w:rFonts w:ascii="Arial" w:hAnsi="Arial" w:cs="Arial"/>
          <w:sz w:val="20"/>
          <w:szCs w:val="20"/>
        </w:rPr>
      </w:pPr>
    </w:p>
    <w:p w14:paraId="5B06029C" w14:textId="429E3603"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tělo svítidla:</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tlakově litý hliník s nástřikem práškovou polyesterovou barvou,</w:t>
      </w:r>
    </w:p>
    <w:p w14:paraId="109EF33E" w14:textId="2E7E624B"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difusor:</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tvrzené sklo o síle 5mm s propustností 91%</w:t>
      </w:r>
    </w:p>
    <w:p w14:paraId="3CE63976" w14:textId="6592B045"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vyzařování charakteristika: </w:t>
      </w:r>
      <w:r w:rsidRPr="00037EAA">
        <w:rPr>
          <w:rFonts w:ascii="Arial" w:eastAsiaTheme="minorHAnsi" w:hAnsi="Arial" w:cs="Arial"/>
          <w:kern w:val="0"/>
          <w:sz w:val="22"/>
          <w:szCs w:val="22"/>
          <w:lang w:eastAsia="en-US" w:bidi="ar-SA"/>
        </w:rPr>
        <w:tab/>
        <w:t>asymetrická pod úhlem vyzařování 45°</w:t>
      </w:r>
    </w:p>
    <w:p w14:paraId="67373696" w14:textId="18CF5072"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světelný zdroj: </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LED 4000K, CRI &gt;80</w:t>
      </w:r>
    </w:p>
    <w:p w14:paraId="4C3606B6" w14:textId="7DEC0978"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měrný světelný výkon: </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 xml:space="preserve">137 </w:t>
      </w:r>
      <w:proofErr w:type="spellStart"/>
      <w:r w:rsidRPr="00037EAA">
        <w:rPr>
          <w:rFonts w:ascii="Arial" w:eastAsiaTheme="minorHAnsi" w:hAnsi="Arial" w:cs="Arial"/>
          <w:kern w:val="0"/>
          <w:sz w:val="22"/>
          <w:szCs w:val="22"/>
          <w:lang w:eastAsia="en-US" w:bidi="ar-SA"/>
        </w:rPr>
        <w:t>lm</w:t>
      </w:r>
      <w:proofErr w:type="spellEnd"/>
      <w:r w:rsidRPr="00037EAA">
        <w:rPr>
          <w:rFonts w:ascii="Arial" w:eastAsiaTheme="minorHAnsi" w:hAnsi="Arial" w:cs="Arial"/>
          <w:kern w:val="0"/>
          <w:sz w:val="22"/>
          <w:szCs w:val="22"/>
          <w:lang w:eastAsia="en-US" w:bidi="ar-SA"/>
        </w:rPr>
        <w:t xml:space="preserve"> / W</w:t>
      </w:r>
    </w:p>
    <w:p w14:paraId="4FAC5560" w14:textId="149C68F0"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ovládání: </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digitálně stmívané v protokolu DALI</w:t>
      </w:r>
    </w:p>
    <w:p w14:paraId="215414E0" w14:textId="1CBF6F63"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mechanická odolnost: </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IK 10 (při použití příslušenství - ochranné mřížky)</w:t>
      </w:r>
    </w:p>
    <w:p w14:paraId="31B1966A" w14:textId="162EC404"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stupeň krytí: </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IP 66</w:t>
      </w:r>
    </w:p>
    <w:p w14:paraId="04E42D77" w14:textId="35BC4695"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váha: </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8,9kg</w:t>
      </w:r>
    </w:p>
    <w:p w14:paraId="40B0D040" w14:textId="12EC8173"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napájení: </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 xml:space="preserve">220-240V AC 50-60 Hz  </w:t>
      </w:r>
    </w:p>
    <w:p w14:paraId="5A31EC8F" w14:textId="77777777" w:rsidR="004C37D5" w:rsidRPr="00037EAA" w:rsidRDefault="004C37D5" w:rsidP="004C37D5">
      <w:pPr>
        <w:pStyle w:val="Standard"/>
        <w:rPr>
          <w:rFonts w:ascii="Arial" w:eastAsiaTheme="minorHAnsi" w:hAnsi="Arial" w:cs="Arial"/>
          <w:kern w:val="0"/>
          <w:sz w:val="22"/>
          <w:szCs w:val="22"/>
          <w:lang w:eastAsia="en-US" w:bidi="ar-SA"/>
        </w:rPr>
      </w:pPr>
    </w:p>
    <w:p w14:paraId="484D0476" w14:textId="7720E282" w:rsidR="004C37D5" w:rsidRPr="00037EAA" w:rsidRDefault="004C37D5" w:rsidP="004C37D5">
      <w:pPr>
        <w:pStyle w:val="Standard"/>
        <w:rPr>
          <w:rFonts w:ascii="Arial" w:hAnsi="Arial" w:cs="Arial"/>
          <w:sz w:val="20"/>
          <w:szCs w:val="20"/>
          <w:lang w:val="en-US"/>
        </w:rPr>
      </w:pPr>
      <w:proofErr w:type="gramStart"/>
      <w:r w:rsidRPr="00037EAA">
        <w:rPr>
          <w:rFonts w:ascii="Arial" w:hAnsi="Arial" w:cs="Arial"/>
          <w:sz w:val="20"/>
          <w:szCs w:val="20"/>
          <w:lang w:val="en-US"/>
        </w:rPr>
        <w:t>p</w:t>
      </w:r>
      <w:proofErr w:type="spellStart"/>
      <w:r w:rsidRPr="00037EAA">
        <w:rPr>
          <w:rFonts w:ascii="Arial" w:hAnsi="Arial" w:cs="Arial"/>
          <w:sz w:val="20"/>
          <w:szCs w:val="20"/>
        </w:rPr>
        <w:t>očet</w:t>
      </w:r>
      <w:proofErr w:type="spellEnd"/>
      <w:proofErr w:type="gramEnd"/>
      <w:r w:rsidRPr="00037EAA">
        <w:rPr>
          <w:rFonts w:ascii="Arial" w:hAnsi="Arial" w:cs="Arial"/>
          <w:sz w:val="20"/>
          <w:szCs w:val="20"/>
        </w:rPr>
        <w:t xml:space="preserve"> kusů: 56 ks</w:t>
      </w:r>
    </w:p>
    <w:p w14:paraId="3F619018" w14:textId="77777777" w:rsidR="004C37D5" w:rsidRPr="00037EAA" w:rsidRDefault="004C37D5" w:rsidP="00437892">
      <w:pPr>
        <w:pStyle w:val="Standard"/>
        <w:rPr>
          <w:rFonts w:ascii="Arial" w:eastAsiaTheme="minorHAnsi" w:hAnsi="Arial" w:cs="Arial"/>
          <w:kern w:val="0"/>
          <w:sz w:val="22"/>
          <w:szCs w:val="22"/>
          <w:lang w:eastAsia="en-US" w:bidi="ar-SA"/>
        </w:rPr>
      </w:pPr>
    </w:p>
    <w:p w14:paraId="68A20AD2" w14:textId="0794FE74" w:rsidR="004C37D5" w:rsidRPr="00037EAA" w:rsidRDefault="004C37D5" w:rsidP="004C37D5">
      <w:pPr>
        <w:pStyle w:val="Standard"/>
        <w:rPr>
          <w:rFonts w:ascii="Arial" w:hAnsi="Arial" w:cs="Arial"/>
          <w:b/>
          <w:bCs/>
          <w:sz w:val="22"/>
          <w:szCs w:val="22"/>
        </w:rPr>
      </w:pPr>
      <w:r w:rsidRPr="00037EAA">
        <w:rPr>
          <w:rFonts w:ascii="Arial" w:hAnsi="Arial" w:cs="Arial"/>
          <w:b/>
          <w:bCs/>
          <w:sz w:val="22"/>
          <w:szCs w:val="22"/>
        </w:rPr>
        <w:t>Svítidlo - typ B – reflektorové svítidlo o příkonu 300W</w:t>
      </w:r>
    </w:p>
    <w:p w14:paraId="2B85FC4C" w14:textId="77777777" w:rsidR="004C37D5" w:rsidRPr="00037EAA" w:rsidRDefault="004C37D5" w:rsidP="004C37D5">
      <w:pPr>
        <w:pStyle w:val="Standard"/>
        <w:rPr>
          <w:rFonts w:ascii="Arial" w:eastAsiaTheme="minorHAnsi" w:hAnsi="Arial" w:cs="Arial"/>
          <w:kern w:val="0"/>
          <w:sz w:val="22"/>
          <w:szCs w:val="22"/>
          <w:lang w:eastAsia="en-US" w:bidi="ar-SA"/>
        </w:rPr>
      </w:pPr>
    </w:p>
    <w:p w14:paraId="4E2CB990" w14:textId="51CF79F4"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tělo svítidla:</w:t>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tlakově litý hliník s nástřikem práškovou polyesterovou barvou,</w:t>
      </w:r>
    </w:p>
    <w:p w14:paraId="24D7ADDE" w14:textId="201BEB72"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difusor:</w:t>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tvrzené sklo o síle 5mm s propustností 91%</w:t>
      </w:r>
    </w:p>
    <w:p w14:paraId="0135EE5A" w14:textId="7DE445FB"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vyzařování charakteristika:</w:t>
      </w:r>
      <w:r w:rsidR="00064E1D"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asymetrická pod úhlem vyzařování 45°</w:t>
      </w:r>
    </w:p>
    <w:p w14:paraId="0D0597DD" w14:textId="72D3E05A"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světelný zdroj:</w:t>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LED 4000K, CRI &gt;80</w:t>
      </w:r>
    </w:p>
    <w:p w14:paraId="2A9FB05C" w14:textId="7979351B"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měrný světelný výkon:</w:t>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 xml:space="preserve">126 </w:t>
      </w:r>
      <w:proofErr w:type="spellStart"/>
      <w:r w:rsidRPr="00037EAA">
        <w:rPr>
          <w:rFonts w:ascii="Arial" w:eastAsiaTheme="minorHAnsi" w:hAnsi="Arial" w:cs="Arial"/>
          <w:kern w:val="0"/>
          <w:sz w:val="22"/>
          <w:szCs w:val="22"/>
          <w:lang w:eastAsia="en-US" w:bidi="ar-SA"/>
        </w:rPr>
        <w:t>lm</w:t>
      </w:r>
      <w:proofErr w:type="spellEnd"/>
      <w:r w:rsidRPr="00037EAA">
        <w:rPr>
          <w:rFonts w:ascii="Arial" w:eastAsiaTheme="minorHAnsi" w:hAnsi="Arial" w:cs="Arial"/>
          <w:kern w:val="0"/>
          <w:sz w:val="22"/>
          <w:szCs w:val="22"/>
          <w:lang w:eastAsia="en-US" w:bidi="ar-SA"/>
        </w:rPr>
        <w:t xml:space="preserve"> / W</w:t>
      </w:r>
    </w:p>
    <w:p w14:paraId="4B3D8BCE" w14:textId="4D988470"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ovládání:</w:t>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digitálně stmívané v protokolu DALI</w:t>
      </w:r>
    </w:p>
    <w:p w14:paraId="13293FE2" w14:textId="7FF7C37B"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 xml:space="preserve">mechanická odolnost: </w:t>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IK 10 (při použití příslušenství - ochranné mřížky)</w:t>
      </w:r>
    </w:p>
    <w:p w14:paraId="30847B66" w14:textId="4D1028BD"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napájení:</w:t>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00064E1D"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 xml:space="preserve">220-240V AC 50-60 Hz  </w:t>
      </w:r>
    </w:p>
    <w:p w14:paraId="657EB7AB" w14:textId="77777777" w:rsidR="004C37D5" w:rsidRPr="00037EAA" w:rsidRDefault="004C37D5" w:rsidP="004C37D5">
      <w:pPr>
        <w:pStyle w:val="Standard"/>
        <w:rPr>
          <w:rFonts w:ascii="Arial" w:eastAsiaTheme="minorHAnsi" w:hAnsi="Arial" w:cs="Arial"/>
          <w:kern w:val="0"/>
          <w:sz w:val="22"/>
          <w:szCs w:val="22"/>
          <w:lang w:eastAsia="en-US" w:bidi="ar-SA"/>
        </w:rPr>
      </w:pPr>
    </w:p>
    <w:p w14:paraId="4958FD21" w14:textId="5F134A4E" w:rsidR="004C37D5" w:rsidRPr="00037EAA" w:rsidRDefault="004C37D5" w:rsidP="004C37D5">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počet kusů: 16 ks</w:t>
      </w:r>
    </w:p>
    <w:p w14:paraId="478F0725" w14:textId="1578E0C8" w:rsidR="00390BB0" w:rsidRPr="00037EAA" w:rsidRDefault="00390BB0" w:rsidP="00390BB0">
      <w:pPr>
        <w:rPr>
          <w:rFonts w:ascii="Arial" w:hAnsi="Arial" w:cs="Arial"/>
        </w:rPr>
      </w:pPr>
    </w:p>
    <w:p w14:paraId="073193BC" w14:textId="29C6B21D" w:rsidR="00064E1D" w:rsidRPr="00037EAA" w:rsidRDefault="00064E1D" w:rsidP="00064E1D">
      <w:pPr>
        <w:pStyle w:val="Standard"/>
        <w:rPr>
          <w:rFonts w:ascii="Arial" w:hAnsi="Arial" w:cs="Arial"/>
          <w:b/>
          <w:bCs/>
          <w:sz w:val="22"/>
          <w:szCs w:val="22"/>
          <w:u w:val="single"/>
        </w:rPr>
      </w:pPr>
      <w:r w:rsidRPr="00037EAA">
        <w:rPr>
          <w:rFonts w:ascii="Arial" w:hAnsi="Arial" w:cs="Arial"/>
          <w:b/>
          <w:bCs/>
          <w:sz w:val="22"/>
          <w:szCs w:val="22"/>
          <w:u w:val="single"/>
        </w:rPr>
        <w:t>Pro návrh osvětlení tribun a okolí sportovišť bylo použito svítidel:</w:t>
      </w:r>
    </w:p>
    <w:p w14:paraId="13FD5529" w14:textId="77777777" w:rsidR="00064E1D" w:rsidRPr="00037EAA" w:rsidRDefault="00064E1D" w:rsidP="00064E1D">
      <w:pPr>
        <w:pStyle w:val="Standard"/>
        <w:rPr>
          <w:rFonts w:ascii="Arial" w:hAnsi="Arial" w:cs="Arial"/>
          <w:b/>
          <w:bCs/>
          <w:sz w:val="20"/>
          <w:szCs w:val="20"/>
        </w:rPr>
      </w:pPr>
    </w:p>
    <w:p w14:paraId="78B8D2C5" w14:textId="3AC898C6" w:rsidR="00064E1D" w:rsidRPr="00037EAA" w:rsidRDefault="00064E1D" w:rsidP="00064E1D">
      <w:pPr>
        <w:pStyle w:val="Standard"/>
        <w:rPr>
          <w:rFonts w:ascii="Arial" w:hAnsi="Arial" w:cs="Arial"/>
          <w:b/>
          <w:bCs/>
          <w:sz w:val="22"/>
          <w:szCs w:val="22"/>
        </w:rPr>
      </w:pPr>
      <w:r w:rsidRPr="00037EAA">
        <w:rPr>
          <w:rFonts w:ascii="Arial" w:hAnsi="Arial" w:cs="Arial"/>
          <w:b/>
          <w:bCs/>
          <w:sz w:val="22"/>
          <w:szCs w:val="22"/>
        </w:rPr>
        <w:t xml:space="preserve">Typ C+D – lineární svítidlo o příkonu 54W, doplněné o autonomní </w:t>
      </w:r>
      <w:r w:rsidR="000E4BAD" w:rsidRPr="00037EAA">
        <w:rPr>
          <w:rFonts w:ascii="Arial" w:hAnsi="Arial" w:cs="Arial"/>
          <w:b/>
          <w:bCs/>
          <w:sz w:val="22"/>
          <w:szCs w:val="22"/>
        </w:rPr>
        <w:t>nouzový modul</w:t>
      </w:r>
    </w:p>
    <w:p w14:paraId="47E7BAEE" w14:textId="77777777" w:rsidR="00064E1D" w:rsidRPr="00037EAA" w:rsidRDefault="00064E1D" w:rsidP="00064E1D">
      <w:pPr>
        <w:pStyle w:val="Standard"/>
        <w:rPr>
          <w:rFonts w:ascii="Arial" w:hAnsi="Arial" w:cs="Arial"/>
          <w:b/>
          <w:bCs/>
          <w:sz w:val="22"/>
          <w:szCs w:val="22"/>
        </w:rPr>
      </w:pPr>
    </w:p>
    <w:p w14:paraId="657AB757" w14:textId="5CD65ECD"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tělo svítidla:</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šedý polykarbonát</w:t>
      </w:r>
    </w:p>
    <w:p w14:paraId="2FD8747A" w14:textId="471A168C"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difusor:</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čirý polykarbonát s vysokou mírou propustností</w:t>
      </w:r>
    </w:p>
    <w:p w14:paraId="1DF92711" w14:textId="3B914051"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vyzařování charakteristika:</w:t>
      </w:r>
      <w:r w:rsidRPr="00037EAA">
        <w:rPr>
          <w:rFonts w:ascii="Arial" w:eastAsiaTheme="minorHAnsi" w:hAnsi="Arial" w:cs="Arial"/>
          <w:kern w:val="0"/>
          <w:sz w:val="22"/>
          <w:szCs w:val="22"/>
          <w:lang w:eastAsia="en-US" w:bidi="ar-SA"/>
        </w:rPr>
        <w:tab/>
        <w:t>symetrická s optimalizací pro výšky instalací 3,5-8m</w:t>
      </w:r>
    </w:p>
    <w:p w14:paraId="7A5C7A3C" w14:textId="7F3FA2C0"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světelný zdroj:</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LED 4000K , CRI &gt;80</w:t>
      </w:r>
    </w:p>
    <w:p w14:paraId="48CA3F71" w14:textId="1E9BD958"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měrný světelný výkon:</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 xml:space="preserve">139 </w:t>
      </w:r>
      <w:proofErr w:type="spellStart"/>
      <w:r w:rsidRPr="00037EAA">
        <w:rPr>
          <w:rFonts w:ascii="Arial" w:eastAsiaTheme="minorHAnsi" w:hAnsi="Arial" w:cs="Arial"/>
          <w:kern w:val="0"/>
          <w:sz w:val="22"/>
          <w:szCs w:val="22"/>
          <w:lang w:eastAsia="en-US" w:bidi="ar-SA"/>
        </w:rPr>
        <w:t>lm</w:t>
      </w:r>
      <w:proofErr w:type="spellEnd"/>
      <w:r w:rsidRPr="00037EAA">
        <w:rPr>
          <w:rFonts w:ascii="Arial" w:eastAsiaTheme="minorHAnsi" w:hAnsi="Arial" w:cs="Arial"/>
          <w:kern w:val="0"/>
          <w:sz w:val="22"/>
          <w:szCs w:val="22"/>
          <w:lang w:eastAsia="en-US" w:bidi="ar-SA"/>
        </w:rPr>
        <w:t xml:space="preserve"> / W</w:t>
      </w:r>
    </w:p>
    <w:p w14:paraId="11F09E68" w14:textId="5BD438FB"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ovládání:</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spínáním</w:t>
      </w:r>
    </w:p>
    <w:p w14:paraId="56F9B2C7" w14:textId="49DDFA84"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mechanická odolnost:</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IK 10</w:t>
      </w:r>
    </w:p>
    <w:p w14:paraId="444C6292" w14:textId="235FDE3E"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záložní zdroj:</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 xml:space="preserve">autonomnost </w:t>
      </w:r>
      <w:r w:rsidR="00CA74FF" w:rsidRPr="00037EAA">
        <w:rPr>
          <w:rFonts w:ascii="Arial" w:eastAsiaTheme="minorHAnsi" w:hAnsi="Arial" w:cs="Arial"/>
          <w:kern w:val="0"/>
          <w:sz w:val="22"/>
          <w:szCs w:val="22"/>
          <w:lang w:eastAsia="en-US" w:bidi="ar-SA"/>
        </w:rPr>
        <w:t>3</w:t>
      </w:r>
      <w:r w:rsidRPr="00037EAA">
        <w:rPr>
          <w:rFonts w:ascii="Arial" w:eastAsiaTheme="minorHAnsi" w:hAnsi="Arial" w:cs="Arial"/>
          <w:kern w:val="0"/>
          <w:sz w:val="22"/>
          <w:szCs w:val="22"/>
          <w:lang w:eastAsia="en-US" w:bidi="ar-SA"/>
        </w:rPr>
        <w:t xml:space="preserve"> hodin</w:t>
      </w:r>
      <w:r w:rsidR="00E05A68" w:rsidRPr="00037EAA">
        <w:rPr>
          <w:rFonts w:ascii="Arial" w:eastAsiaTheme="minorHAnsi" w:hAnsi="Arial" w:cs="Arial"/>
          <w:kern w:val="0"/>
          <w:sz w:val="22"/>
          <w:szCs w:val="22"/>
          <w:lang w:eastAsia="en-US" w:bidi="ar-SA"/>
        </w:rPr>
        <w:t>y</w:t>
      </w:r>
    </w:p>
    <w:p w14:paraId="416E528E" w14:textId="42B37922"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napájení:</w:t>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r>
      <w:r w:rsidRPr="00037EAA">
        <w:rPr>
          <w:rFonts w:ascii="Arial" w:eastAsiaTheme="minorHAnsi" w:hAnsi="Arial" w:cs="Arial"/>
          <w:kern w:val="0"/>
          <w:sz w:val="22"/>
          <w:szCs w:val="22"/>
          <w:lang w:eastAsia="en-US" w:bidi="ar-SA"/>
        </w:rPr>
        <w:tab/>
        <w:t xml:space="preserve">220-240V AC 50-60 Hz  </w:t>
      </w:r>
    </w:p>
    <w:p w14:paraId="4061F16B" w14:textId="77777777" w:rsidR="00064E1D" w:rsidRPr="00037EAA" w:rsidRDefault="00064E1D" w:rsidP="00064E1D">
      <w:pPr>
        <w:pStyle w:val="Standard"/>
        <w:rPr>
          <w:rFonts w:ascii="Arial" w:eastAsiaTheme="minorHAnsi" w:hAnsi="Arial" w:cs="Arial"/>
          <w:kern w:val="0"/>
          <w:sz w:val="22"/>
          <w:szCs w:val="22"/>
          <w:lang w:eastAsia="en-US" w:bidi="ar-SA"/>
        </w:rPr>
      </w:pPr>
    </w:p>
    <w:p w14:paraId="08777BED" w14:textId="7A3AF2A7" w:rsidR="00064E1D" w:rsidRPr="00037EAA" w:rsidRDefault="00064E1D" w:rsidP="00064E1D">
      <w:pPr>
        <w:pStyle w:val="Standard"/>
        <w:rPr>
          <w:rFonts w:ascii="Arial" w:eastAsiaTheme="minorHAnsi" w:hAnsi="Arial" w:cs="Arial"/>
          <w:kern w:val="0"/>
          <w:sz w:val="22"/>
          <w:szCs w:val="22"/>
          <w:lang w:eastAsia="en-US" w:bidi="ar-SA"/>
        </w:rPr>
      </w:pPr>
      <w:r w:rsidRPr="00037EAA">
        <w:rPr>
          <w:rFonts w:ascii="Arial" w:eastAsiaTheme="minorHAnsi" w:hAnsi="Arial" w:cs="Arial"/>
          <w:kern w:val="0"/>
          <w:sz w:val="22"/>
          <w:szCs w:val="22"/>
          <w:lang w:eastAsia="en-US" w:bidi="ar-SA"/>
        </w:rPr>
        <w:t>počet kusů: 44 ks</w:t>
      </w:r>
    </w:p>
    <w:p w14:paraId="59540430" w14:textId="1039FDB5" w:rsidR="00064E1D" w:rsidRPr="00037EAA" w:rsidRDefault="00064E1D" w:rsidP="00390BB0">
      <w:pPr>
        <w:rPr>
          <w:rFonts w:ascii="Arial" w:hAnsi="Arial" w:cs="Arial"/>
        </w:rPr>
      </w:pPr>
    </w:p>
    <w:p w14:paraId="1BC6B3B1" w14:textId="04FC5AF9" w:rsidR="003E7E0D" w:rsidRPr="00037EAA" w:rsidRDefault="003E7E0D" w:rsidP="00390BB0">
      <w:pPr>
        <w:rPr>
          <w:rFonts w:ascii="Arial" w:hAnsi="Arial" w:cs="Arial"/>
        </w:rPr>
      </w:pPr>
      <w:r w:rsidRPr="00037EAA">
        <w:rPr>
          <w:rFonts w:ascii="Arial" w:hAnsi="Arial" w:cs="Arial"/>
        </w:rPr>
        <w:t>Výpočty osvětlení pro jednotlivé prostory j</w:t>
      </w:r>
      <w:r w:rsidR="00CA74FF" w:rsidRPr="00037EAA">
        <w:rPr>
          <w:rFonts w:ascii="Arial" w:hAnsi="Arial" w:cs="Arial"/>
        </w:rPr>
        <w:t>sou uvedeny</w:t>
      </w:r>
      <w:r w:rsidRPr="00037EAA">
        <w:rPr>
          <w:rFonts w:ascii="Arial" w:hAnsi="Arial" w:cs="Arial"/>
        </w:rPr>
        <w:t xml:space="preserve"> v příloze </w:t>
      </w:r>
      <w:proofErr w:type="gramStart"/>
      <w:r w:rsidRPr="00037EAA">
        <w:rPr>
          <w:rFonts w:ascii="Arial" w:hAnsi="Arial" w:cs="Arial"/>
        </w:rPr>
        <w:t>č.1,2,3</w:t>
      </w:r>
      <w:proofErr w:type="gramEnd"/>
    </w:p>
    <w:p w14:paraId="27E3F255" w14:textId="10C3B39B" w:rsidR="003E7E0D" w:rsidRPr="00037EAA" w:rsidRDefault="003E7E0D" w:rsidP="00390BB0">
      <w:pPr>
        <w:rPr>
          <w:rFonts w:ascii="Arial" w:hAnsi="Arial" w:cs="Arial"/>
        </w:rPr>
      </w:pPr>
      <w:r w:rsidRPr="00037EAA">
        <w:rPr>
          <w:rFonts w:ascii="Arial" w:hAnsi="Arial" w:cs="Arial"/>
        </w:rPr>
        <w:t xml:space="preserve">Ovládání osvětlení hrací plochy je </w:t>
      </w:r>
      <w:proofErr w:type="gramStart"/>
      <w:r w:rsidRPr="00037EAA">
        <w:rPr>
          <w:rFonts w:ascii="Arial" w:hAnsi="Arial" w:cs="Arial"/>
        </w:rPr>
        <w:t>navrženo</w:t>
      </w:r>
      <w:proofErr w:type="gramEnd"/>
      <w:r w:rsidRPr="00037EAA">
        <w:rPr>
          <w:rFonts w:ascii="Arial" w:hAnsi="Arial" w:cs="Arial"/>
        </w:rPr>
        <w:t xml:space="preserve"> pomocí digitální sběrnice </w:t>
      </w:r>
      <w:proofErr w:type="gramStart"/>
      <w:r w:rsidRPr="00037EAA">
        <w:rPr>
          <w:rFonts w:ascii="Arial" w:hAnsi="Arial" w:cs="Arial"/>
        </w:rPr>
        <w:t>DALI</w:t>
      </w:r>
      <w:proofErr w:type="gramEnd"/>
      <w:r w:rsidRPr="00037EAA">
        <w:rPr>
          <w:rFonts w:ascii="Arial" w:hAnsi="Arial" w:cs="Arial"/>
        </w:rPr>
        <w:t xml:space="preserve">. Ovládání osvětlení v prostoru hlediště a okolo hrací plochy je navrženo jako spínané. </w:t>
      </w:r>
    </w:p>
    <w:p w14:paraId="3ECE086A" w14:textId="66748E9D" w:rsidR="003E7E0D" w:rsidRPr="00037EAA" w:rsidRDefault="003E7E0D" w:rsidP="00390BB0">
      <w:pPr>
        <w:rPr>
          <w:rFonts w:ascii="Arial" w:hAnsi="Arial" w:cs="Arial"/>
        </w:rPr>
      </w:pPr>
      <w:r w:rsidRPr="00037EAA">
        <w:rPr>
          <w:rFonts w:ascii="Arial" w:hAnsi="Arial" w:cs="Arial"/>
        </w:rPr>
        <w:lastRenderedPageBreak/>
        <w:t xml:space="preserve">U svítidel nad hrací plochou dojde v rámci úprav k přepojení a přemístění svítidel do pozic dle výpočtů tak, aby bylo docíleno osvětlení, které splní veškeré požadavky na </w:t>
      </w:r>
      <w:r w:rsidR="00F04E57" w:rsidRPr="00037EAA">
        <w:rPr>
          <w:rFonts w:ascii="Arial" w:hAnsi="Arial" w:cs="Arial"/>
        </w:rPr>
        <w:t>parametry</w:t>
      </w:r>
      <w:r w:rsidRPr="00037EAA">
        <w:rPr>
          <w:rFonts w:ascii="Arial" w:hAnsi="Arial" w:cs="Arial"/>
        </w:rPr>
        <w:t xml:space="preserve"> osvětlení</w:t>
      </w:r>
      <w:r w:rsidR="00B56F8D" w:rsidRPr="00037EAA">
        <w:rPr>
          <w:rFonts w:ascii="Arial" w:hAnsi="Arial" w:cs="Arial"/>
        </w:rPr>
        <w:t xml:space="preserve"> pro jednotlivé sporty, tak i na </w:t>
      </w:r>
      <w:r w:rsidR="00F04E57" w:rsidRPr="00037EAA">
        <w:rPr>
          <w:rFonts w:ascii="Arial" w:hAnsi="Arial" w:cs="Arial"/>
        </w:rPr>
        <w:t>parametry</w:t>
      </w:r>
      <w:r w:rsidR="00B56F8D" w:rsidRPr="00037EAA">
        <w:rPr>
          <w:rFonts w:ascii="Arial" w:hAnsi="Arial" w:cs="Arial"/>
        </w:rPr>
        <w:t xml:space="preserve"> osvětlení pro televizní přenosy.</w:t>
      </w:r>
      <w:r w:rsidR="002C4A7E" w:rsidRPr="00037EAA">
        <w:rPr>
          <w:rFonts w:ascii="Arial" w:hAnsi="Arial" w:cs="Arial"/>
        </w:rPr>
        <w:t xml:space="preserve"> Rozmístění kamer při televizních přenosech je patrné z jednotlivých výpočtů v příloze tohoto zadání.</w:t>
      </w:r>
    </w:p>
    <w:p w14:paraId="67E5695C" w14:textId="34988A11" w:rsidR="00B56F8D" w:rsidRPr="00037EAA" w:rsidRDefault="00B56F8D" w:rsidP="00390BB0">
      <w:pPr>
        <w:rPr>
          <w:rFonts w:ascii="Arial" w:hAnsi="Arial" w:cs="Arial"/>
        </w:rPr>
      </w:pPr>
      <w:r w:rsidRPr="00037EAA">
        <w:rPr>
          <w:rFonts w:ascii="Arial" w:hAnsi="Arial" w:cs="Arial"/>
        </w:rPr>
        <w:t>Ovládání osvětlení tribuny a okolo hrací plochy bude provedeno pomocí spínacích kontaktů navrženého akčního prvku, který bude instalován do příslušného rozvaděče.</w:t>
      </w:r>
    </w:p>
    <w:p w14:paraId="2884A915" w14:textId="73152C54" w:rsidR="00B56F8D" w:rsidRPr="00037EAA" w:rsidRDefault="00B56F8D" w:rsidP="00390BB0">
      <w:pPr>
        <w:rPr>
          <w:rFonts w:ascii="Arial" w:hAnsi="Arial" w:cs="Arial"/>
        </w:rPr>
      </w:pPr>
      <w:r w:rsidRPr="00037EAA">
        <w:rPr>
          <w:rFonts w:ascii="Arial" w:hAnsi="Arial" w:cs="Arial"/>
        </w:rPr>
        <w:t>Celý systém ovládání bude dále rozšířen o ovládání sklápění košů na basketbal tak, aby bylo možné nastavit i scénu pro zahájení a ukončení basketbalu bez nutnosti použít více ovládacích tlačítek</w:t>
      </w:r>
      <w:r w:rsidR="002C4A7E" w:rsidRPr="00037EAA">
        <w:rPr>
          <w:rFonts w:ascii="Arial" w:hAnsi="Arial" w:cs="Arial"/>
        </w:rPr>
        <w:t xml:space="preserve"> pro nastavení konkrétní scény (typu hřiště nebo úrovně osvětlení (trénink, utkání, televizní přenos).</w:t>
      </w:r>
      <w:r w:rsidRPr="00037EAA">
        <w:rPr>
          <w:rFonts w:ascii="Arial" w:hAnsi="Arial" w:cs="Arial"/>
        </w:rPr>
        <w:t xml:space="preserve"> Za tímto účelem bude do příslušného rozvaděče instalován akční prvek, který bude ovládat automatiku sklápění basket</w:t>
      </w:r>
      <w:r w:rsidR="002F265E" w:rsidRPr="00037EAA">
        <w:rPr>
          <w:rFonts w:ascii="Arial" w:hAnsi="Arial" w:cs="Arial"/>
        </w:rPr>
        <w:t>bal</w:t>
      </w:r>
      <w:r w:rsidRPr="00037EAA">
        <w:rPr>
          <w:rFonts w:ascii="Arial" w:hAnsi="Arial" w:cs="Arial"/>
        </w:rPr>
        <w:t>o</w:t>
      </w:r>
      <w:r w:rsidR="002F265E" w:rsidRPr="00037EAA">
        <w:rPr>
          <w:rFonts w:ascii="Arial" w:hAnsi="Arial" w:cs="Arial"/>
        </w:rPr>
        <w:t>v</w:t>
      </w:r>
      <w:r w:rsidRPr="00037EAA">
        <w:rPr>
          <w:rFonts w:ascii="Arial" w:hAnsi="Arial" w:cs="Arial"/>
        </w:rPr>
        <w:t>ých košů</w:t>
      </w:r>
      <w:r w:rsidR="002F265E" w:rsidRPr="00037EAA">
        <w:rPr>
          <w:rFonts w:ascii="Arial" w:hAnsi="Arial" w:cs="Arial"/>
        </w:rPr>
        <w:t>.</w:t>
      </w:r>
    </w:p>
    <w:p w14:paraId="77E5BBC7" w14:textId="11485191" w:rsidR="00A22FB7" w:rsidRPr="00037EAA" w:rsidRDefault="002F265E" w:rsidP="00390BB0">
      <w:pPr>
        <w:rPr>
          <w:rFonts w:ascii="Arial" w:hAnsi="Arial" w:cs="Arial"/>
        </w:rPr>
      </w:pPr>
      <w:r w:rsidRPr="00037EAA">
        <w:rPr>
          <w:rFonts w:ascii="Arial" w:hAnsi="Arial" w:cs="Arial"/>
        </w:rPr>
        <w:t xml:space="preserve">Ovládání systému osvětlení a basketbalových košů bude prováděno na dotykovém ovládacím prvku, který bude umístěn u vstupu do prostoru haly. </w:t>
      </w:r>
      <w:r w:rsidR="002C4A7E" w:rsidRPr="00037EAA">
        <w:rPr>
          <w:rFonts w:ascii="Arial" w:hAnsi="Arial" w:cs="Arial"/>
        </w:rPr>
        <w:t>Z dotykového panelu u vstupu do haly bude možné ovládat jak jednotlivé přednastavené scény, myšleno je osvětlení pro jednotlivé sporty, popřípadě sklápění košů, tak uživatelské scény</w:t>
      </w:r>
      <w:r w:rsidR="00A22FB7" w:rsidRPr="00037EAA">
        <w:rPr>
          <w:rFonts w:ascii="Arial" w:hAnsi="Arial" w:cs="Arial"/>
        </w:rPr>
        <w:t>, které si bude mít možnost uživatel nastavit dle vlastního uvážení a návrhu. Z dotykového panelu bude možné ovládat i jednotlivá svítidla systému. Je nepřípustné, aby se intenzita osvětlení hrací plochy regulovala pouze spínáním jednotlivých sekcí, protože by nebylo možné dodržet rovnoměrnost osvětlení. Zároveň je požadováno, aby bylo osvětlení jasně nastaveno na každý z preferovaných sportů uvedených výše v </w:t>
      </w:r>
      <w:proofErr w:type="gramStart"/>
      <w:r w:rsidR="00A22FB7" w:rsidRPr="00037EAA">
        <w:rPr>
          <w:rFonts w:ascii="Arial" w:hAnsi="Arial" w:cs="Arial"/>
        </w:rPr>
        <w:t>bodě 1.a.</w:t>
      </w:r>
      <w:proofErr w:type="gramEnd"/>
    </w:p>
    <w:p w14:paraId="307EDF68" w14:textId="67F285EB" w:rsidR="002F265E" w:rsidRPr="00037EAA" w:rsidRDefault="002F265E" w:rsidP="00390BB0">
      <w:pPr>
        <w:rPr>
          <w:rFonts w:ascii="Arial" w:hAnsi="Arial" w:cs="Arial"/>
        </w:rPr>
      </w:pPr>
      <w:r w:rsidRPr="00037EAA">
        <w:rPr>
          <w:rFonts w:ascii="Arial" w:hAnsi="Arial" w:cs="Arial"/>
        </w:rPr>
        <w:t xml:space="preserve">Celý systém bude dále vybaven IP rozhraním, díky kterému bude možné celý </w:t>
      </w:r>
      <w:r w:rsidR="00E348EE" w:rsidRPr="00037EAA">
        <w:rPr>
          <w:rFonts w:ascii="Arial" w:hAnsi="Arial" w:cs="Arial"/>
        </w:rPr>
        <w:t xml:space="preserve">systém </w:t>
      </w:r>
      <w:r w:rsidRPr="00037EAA">
        <w:rPr>
          <w:rFonts w:ascii="Arial" w:hAnsi="Arial" w:cs="Arial"/>
        </w:rPr>
        <w:t>na dálku monitorovat a diagnostikovat závady na jednotlivých svítidlech nad hrací plochou, zjistit stav svítidel okolo hrací plochy a tribuně a stav jednotlivých basketbalových košů. Díky použitému IP rozhraní bude možné systém za příplatek doplnit o aplikace, které budou použity na mobilním telefonu, popřípadě tabletu.</w:t>
      </w:r>
    </w:p>
    <w:p w14:paraId="738129FB" w14:textId="20900FAB" w:rsidR="002F265E" w:rsidRPr="00037EAA" w:rsidRDefault="002F265E" w:rsidP="00390BB0">
      <w:pPr>
        <w:rPr>
          <w:rFonts w:ascii="Arial" w:hAnsi="Arial" w:cs="Arial"/>
        </w:rPr>
      </w:pPr>
      <w:r w:rsidRPr="00037EAA">
        <w:rPr>
          <w:rFonts w:ascii="Arial" w:hAnsi="Arial" w:cs="Arial"/>
        </w:rPr>
        <w:t xml:space="preserve">Jako technický standard </w:t>
      </w:r>
      <w:r w:rsidR="00A22FB7" w:rsidRPr="00037EAA">
        <w:rPr>
          <w:rFonts w:ascii="Arial" w:hAnsi="Arial" w:cs="Arial"/>
        </w:rPr>
        <w:t xml:space="preserve">pro ovládání </w:t>
      </w:r>
      <w:r w:rsidRPr="00037EAA">
        <w:rPr>
          <w:rFonts w:ascii="Arial" w:hAnsi="Arial" w:cs="Arial"/>
        </w:rPr>
        <w:t>bylo v návrhu použito standardizovaného systému KNX.</w:t>
      </w:r>
    </w:p>
    <w:p w14:paraId="3663CF5B" w14:textId="77777777" w:rsidR="00F04E57" w:rsidRPr="00037EAA" w:rsidRDefault="00F04E57" w:rsidP="00390BB0">
      <w:pPr>
        <w:rPr>
          <w:rFonts w:ascii="Arial" w:hAnsi="Arial" w:cs="Arial"/>
        </w:rPr>
      </w:pPr>
    </w:p>
    <w:p w14:paraId="2554FCED" w14:textId="71A0250F" w:rsidR="00320824" w:rsidRPr="00037EAA" w:rsidRDefault="000C634B" w:rsidP="00320824">
      <w:pPr>
        <w:pStyle w:val="Odstavecseseznamem"/>
        <w:numPr>
          <w:ilvl w:val="0"/>
          <w:numId w:val="1"/>
        </w:numPr>
        <w:rPr>
          <w:rFonts w:ascii="Arial" w:hAnsi="Arial" w:cs="Arial"/>
          <w:b/>
          <w:bCs/>
          <w:u w:val="single"/>
        </w:rPr>
      </w:pPr>
      <w:r w:rsidRPr="00037EAA">
        <w:rPr>
          <w:rFonts w:ascii="Arial" w:hAnsi="Arial" w:cs="Arial"/>
          <w:b/>
          <w:bCs/>
          <w:u w:val="single"/>
        </w:rPr>
        <w:t>Požadavky na zpracování cenové nabídky</w:t>
      </w:r>
    </w:p>
    <w:p w14:paraId="27BAA7F6" w14:textId="77777777" w:rsidR="00320824" w:rsidRPr="00037EAA" w:rsidRDefault="00320824" w:rsidP="00320824">
      <w:pPr>
        <w:rPr>
          <w:rFonts w:ascii="Arial" w:hAnsi="Arial" w:cs="Arial"/>
          <w:b/>
          <w:bCs/>
          <w:u w:val="single"/>
        </w:rPr>
      </w:pPr>
    </w:p>
    <w:p w14:paraId="442D2516" w14:textId="77777777" w:rsidR="00320824" w:rsidRPr="00037EAA" w:rsidRDefault="000C634B" w:rsidP="00390BB0">
      <w:pPr>
        <w:pStyle w:val="Odstavecseseznamem"/>
        <w:numPr>
          <w:ilvl w:val="0"/>
          <w:numId w:val="15"/>
        </w:numPr>
        <w:rPr>
          <w:rFonts w:ascii="Arial" w:hAnsi="Arial" w:cs="Arial"/>
        </w:rPr>
      </w:pPr>
      <w:r w:rsidRPr="00037EAA">
        <w:rPr>
          <w:rFonts w:ascii="Arial" w:hAnsi="Arial" w:cs="Arial"/>
        </w:rPr>
        <w:t>Uchazeč zpracuje cenovou nabídku v rozsahu dle zadávací dokumentace a přiloženého výkazu výměr.</w:t>
      </w:r>
    </w:p>
    <w:p w14:paraId="11C17872" w14:textId="63341015" w:rsidR="000C634B" w:rsidRPr="00037EAA" w:rsidRDefault="000C634B" w:rsidP="00390BB0">
      <w:pPr>
        <w:pStyle w:val="Odstavecseseznamem"/>
        <w:numPr>
          <w:ilvl w:val="0"/>
          <w:numId w:val="15"/>
        </w:numPr>
        <w:rPr>
          <w:rFonts w:ascii="Arial" w:hAnsi="Arial" w:cs="Arial"/>
        </w:rPr>
      </w:pPr>
      <w:r w:rsidRPr="00037EAA">
        <w:rPr>
          <w:rFonts w:ascii="Arial" w:hAnsi="Arial" w:cs="Arial"/>
        </w:rPr>
        <w:t xml:space="preserve">Uchazeči je povoleno provést </w:t>
      </w:r>
      <w:r w:rsidR="00804F65" w:rsidRPr="00037EAA">
        <w:rPr>
          <w:rFonts w:ascii="Arial" w:hAnsi="Arial" w:cs="Arial"/>
        </w:rPr>
        <w:t xml:space="preserve">změny </w:t>
      </w:r>
      <w:r w:rsidR="00CA74FF" w:rsidRPr="00037EAA">
        <w:rPr>
          <w:rFonts w:ascii="Arial" w:hAnsi="Arial" w:cs="Arial"/>
        </w:rPr>
        <w:t xml:space="preserve">jednotlivý typů zařízení, avšak při zachování minimálně stejného </w:t>
      </w:r>
      <w:r w:rsidR="00804F65" w:rsidRPr="00037EAA">
        <w:rPr>
          <w:rFonts w:ascii="Arial" w:hAnsi="Arial" w:cs="Arial"/>
        </w:rPr>
        <w:t>technického standardu</w:t>
      </w:r>
      <w:r w:rsidRPr="00037EAA">
        <w:rPr>
          <w:rFonts w:ascii="Arial" w:hAnsi="Arial" w:cs="Arial"/>
        </w:rPr>
        <w:t>. V takovém případě však uchazeč jednoznačně doloží:</w:t>
      </w:r>
    </w:p>
    <w:p w14:paraId="1822E2F4" w14:textId="530821FD" w:rsidR="00320824" w:rsidRPr="00037EAA" w:rsidRDefault="00EA56FF" w:rsidP="00320824">
      <w:pPr>
        <w:pStyle w:val="Odstavecseseznamem"/>
        <w:numPr>
          <w:ilvl w:val="0"/>
          <w:numId w:val="16"/>
        </w:numPr>
        <w:rPr>
          <w:rFonts w:ascii="Arial" w:hAnsi="Arial" w:cs="Arial"/>
        </w:rPr>
      </w:pPr>
      <w:r w:rsidRPr="00037EAA">
        <w:rPr>
          <w:rFonts w:ascii="Arial" w:hAnsi="Arial" w:cs="Arial"/>
        </w:rPr>
        <w:t xml:space="preserve">Kompletní výpočty osvětlení </w:t>
      </w:r>
      <w:r w:rsidR="00CA74FF" w:rsidRPr="00037EAA">
        <w:rPr>
          <w:rFonts w:ascii="Arial" w:hAnsi="Arial" w:cs="Arial"/>
        </w:rPr>
        <w:t>na</w:t>
      </w:r>
      <w:r w:rsidRPr="00037EAA">
        <w:rPr>
          <w:rFonts w:ascii="Arial" w:hAnsi="Arial" w:cs="Arial"/>
        </w:rPr>
        <w:t xml:space="preserve"> jednotlivé </w:t>
      </w:r>
      <w:r w:rsidR="00FD4F41" w:rsidRPr="00037EAA">
        <w:rPr>
          <w:rFonts w:ascii="Arial" w:hAnsi="Arial" w:cs="Arial"/>
        </w:rPr>
        <w:t xml:space="preserve">sporty ve všech úrovních dle platné ČSN EN </w:t>
      </w:r>
      <w:r w:rsidR="00E05A68" w:rsidRPr="00037EAA">
        <w:rPr>
          <w:rFonts w:ascii="Arial" w:hAnsi="Arial" w:cs="Arial"/>
          <w:sz w:val="20"/>
          <w:szCs w:val="20"/>
        </w:rPr>
        <w:t xml:space="preserve">ČSN EN 12193 </w:t>
      </w:r>
      <w:r w:rsidR="00804F65" w:rsidRPr="00037EAA">
        <w:rPr>
          <w:rFonts w:ascii="Arial" w:hAnsi="Arial" w:cs="Arial"/>
        </w:rPr>
        <w:t>pro svítidla, která uvažuje v cenové nabídce</w:t>
      </w:r>
    </w:p>
    <w:p w14:paraId="5E44A77C" w14:textId="3692E1A8" w:rsidR="00320824" w:rsidRPr="00037EAA" w:rsidRDefault="000C634B" w:rsidP="00320824">
      <w:pPr>
        <w:pStyle w:val="Odstavecseseznamem"/>
        <w:numPr>
          <w:ilvl w:val="0"/>
          <w:numId w:val="16"/>
        </w:numPr>
        <w:rPr>
          <w:rFonts w:ascii="Arial" w:hAnsi="Arial" w:cs="Arial"/>
        </w:rPr>
      </w:pPr>
      <w:r w:rsidRPr="00037EAA">
        <w:rPr>
          <w:rFonts w:ascii="Arial" w:hAnsi="Arial" w:cs="Arial"/>
        </w:rPr>
        <w:t xml:space="preserve">Kompletní a úplné technické listy </w:t>
      </w:r>
      <w:r w:rsidR="00FD4F41" w:rsidRPr="00037EAA">
        <w:rPr>
          <w:rFonts w:ascii="Arial" w:hAnsi="Arial" w:cs="Arial"/>
        </w:rPr>
        <w:t xml:space="preserve">v minimálně stejném technickém rozsahu, jako je použito u </w:t>
      </w:r>
      <w:r w:rsidR="00804F65" w:rsidRPr="00037EAA">
        <w:rPr>
          <w:rFonts w:ascii="Arial" w:hAnsi="Arial" w:cs="Arial"/>
        </w:rPr>
        <w:t>svítidel uvedených v</w:t>
      </w:r>
      <w:r w:rsidR="00FD4F41" w:rsidRPr="00037EAA">
        <w:rPr>
          <w:rFonts w:ascii="Arial" w:hAnsi="Arial" w:cs="Arial"/>
        </w:rPr>
        <w:t>e</w:t>
      </w:r>
      <w:r w:rsidR="00804F65" w:rsidRPr="00037EAA">
        <w:rPr>
          <w:rFonts w:ascii="Arial" w:hAnsi="Arial" w:cs="Arial"/>
        </w:rPr>
        <w:t> </w:t>
      </w:r>
      <w:r w:rsidR="00FD4F41" w:rsidRPr="00037EAA">
        <w:rPr>
          <w:rFonts w:ascii="Arial" w:hAnsi="Arial" w:cs="Arial"/>
        </w:rPr>
        <w:t>standardu uvedeném v této zadávací dokumentaci.</w:t>
      </w:r>
    </w:p>
    <w:p w14:paraId="0D25D49B" w14:textId="04732854" w:rsidR="005D69E0" w:rsidRPr="00037EAA" w:rsidRDefault="000C634B" w:rsidP="005D69E0">
      <w:pPr>
        <w:pStyle w:val="Odstavecseseznamem"/>
        <w:numPr>
          <w:ilvl w:val="0"/>
          <w:numId w:val="16"/>
        </w:numPr>
        <w:rPr>
          <w:rFonts w:ascii="Arial" w:hAnsi="Arial" w:cs="Arial"/>
        </w:rPr>
      </w:pPr>
      <w:r w:rsidRPr="00037EAA">
        <w:rPr>
          <w:rFonts w:ascii="Arial" w:hAnsi="Arial" w:cs="Arial"/>
        </w:rPr>
        <w:t>Kompletní technické listy a seznam případných uvažovaných náhrad technologií pro řízení DALI a KNX</w:t>
      </w:r>
      <w:r w:rsidR="00320824" w:rsidRPr="00037EAA">
        <w:rPr>
          <w:rFonts w:ascii="Arial" w:hAnsi="Arial" w:cs="Arial"/>
        </w:rPr>
        <w:t xml:space="preserve"> oproti uvažovanému standardu</w:t>
      </w:r>
    </w:p>
    <w:p w14:paraId="50DECD92" w14:textId="2EE57309" w:rsidR="00804F65" w:rsidRPr="00037EAA" w:rsidRDefault="00804F65" w:rsidP="005D69E0">
      <w:pPr>
        <w:pStyle w:val="Odstavecseseznamem"/>
        <w:numPr>
          <w:ilvl w:val="0"/>
          <w:numId w:val="16"/>
        </w:numPr>
        <w:rPr>
          <w:rFonts w:ascii="Arial" w:hAnsi="Arial" w:cs="Arial"/>
        </w:rPr>
      </w:pPr>
      <w:r w:rsidRPr="00037EAA">
        <w:rPr>
          <w:rFonts w:ascii="Arial" w:hAnsi="Arial" w:cs="Arial"/>
        </w:rPr>
        <w:lastRenderedPageBreak/>
        <w:t>Ucelený popis kompletního navrženého řešení</w:t>
      </w:r>
    </w:p>
    <w:p w14:paraId="3A5FC3FA" w14:textId="2F9CEBA3" w:rsidR="005D69E0" w:rsidRPr="00037EAA" w:rsidRDefault="005D69E0" w:rsidP="0009630E">
      <w:pPr>
        <w:pStyle w:val="Odstavecseseznamem"/>
        <w:numPr>
          <w:ilvl w:val="0"/>
          <w:numId w:val="15"/>
        </w:numPr>
        <w:rPr>
          <w:rFonts w:ascii="Arial" w:hAnsi="Arial" w:cs="Arial"/>
        </w:rPr>
      </w:pPr>
      <w:r w:rsidRPr="00037EAA">
        <w:rPr>
          <w:rFonts w:ascii="Arial" w:hAnsi="Arial" w:cs="Arial"/>
        </w:rPr>
        <w:t>Uchazeč vyplní tabulku úspor, která je součástí přiloženého zadání</w:t>
      </w:r>
      <w:r w:rsidR="0097304C" w:rsidRPr="00037EAA">
        <w:rPr>
          <w:rFonts w:ascii="Arial" w:hAnsi="Arial" w:cs="Arial"/>
        </w:rPr>
        <w:t>.</w:t>
      </w:r>
      <w:r w:rsidR="0067578A" w:rsidRPr="00037EAA">
        <w:rPr>
          <w:rFonts w:ascii="Arial" w:hAnsi="Arial" w:cs="Arial"/>
        </w:rPr>
        <w:t xml:space="preserve"> Je požadována úspora min. 45%.</w:t>
      </w:r>
    </w:p>
    <w:p w14:paraId="5ADD88C0" w14:textId="77777777" w:rsidR="0067578A" w:rsidRPr="00037EAA" w:rsidRDefault="0067578A" w:rsidP="0067578A">
      <w:pPr>
        <w:pStyle w:val="Odstavecseseznamem"/>
        <w:rPr>
          <w:rFonts w:ascii="Arial" w:hAnsi="Arial" w:cs="Arial"/>
        </w:rPr>
      </w:pPr>
    </w:p>
    <w:p w14:paraId="7FD425EE" w14:textId="77777777" w:rsidR="0067578A" w:rsidRPr="00037EAA" w:rsidRDefault="0067578A" w:rsidP="0067578A">
      <w:pPr>
        <w:pStyle w:val="Odstavecseseznamem"/>
        <w:rPr>
          <w:rFonts w:ascii="Arial" w:hAnsi="Arial" w:cs="Arial"/>
        </w:rPr>
      </w:pPr>
    </w:p>
    <w:p w14:paraId="50744B5F" w14:textId="644759AE" w:rsidR="000C634B" w:rsidRPr="00037EAA" w:rsidRDefault="0009630E" w:rsidP="00320824">
      <w:pPr>
        <w:pStyle w:val="Odstavecseseznamem"/>
        <w:numPr>
          <w:ilvl w:val="0"/>
          <w:numId w:val="1"/>
        </w:numPr>
        <w:rPr>
          <w:rFonts w:ascii="Arial" w:hAnsi="Arial" w:cs="Arial"/>
          <w:b/>
          <w:bCs/>
          <w:u w:val="single"/>
        </w:rPr>
      </w:pPr>
      <w:r w:rsidRPr="00037EAA">
        <w:rPr>
          <w:rFonts w:ascii="Arial" w:hAnsi="Arial" w:cs="Arial"/>
          <w:b/>
          <w:bCs/>
          <w:u w:val="single"/>
        </w:rPr>
        <w:t>Záruky</w:t>
      </w:r>
    </w:p>
    <w:p w14:paraId="487D6B9D" w14:textId="4A5F1916" w:rsidR="0009630E" w:rsidRPr="00037EAA" w:rsidRDefault="0009630E" w:rsidP="0009630E">
      <w:pPr>
        <w:rPr>
          <w:rFonts w:ascii="Arial" w:hAnsi="Arial" w:cs="Arial"/>
        </w:rPr>
      </w:pPr>
      <w:r w:rsidRPr="00037EAA">
        <w:rPr>
          <w:rFonts w:ascii="Arial" w:hAnsi="Arial" w:cs="Arial"/>
        </w:rPr>
        <w:t>Požadovaná délka záruky na jednotlivé dodávky:</w:t>
      </w:r>
    </w:p>
    <w:p w14:paraId="5EE18A13" w14:textId="2DDF2615" w:rsidR="0009630E" w:rsidRPr="00037EAA" w:rsidRDefault="001A55E3" w:rsidP="0009630E">
      <w:pPr>
        <w:pStyle w:val="Odstavecseseznamem"/>
        <w:numPr>
          <w:ilvl w:val="0"/>
          <w:numId w:val="11"/>
        </w:numPr>
        <w:rPr>
          <w:rFonts w:ascii="Arial" w:hAnsi="Arial" w:cs="Arial"/>
        </w:rPr>
      </w:pPr>
      <w:r>
        <w:rPr>
          <w:rFonts w:ascii="Arial" w:hAnsi="Arial" w:cs="Arial"/>
        </w:rPr>
        <w:t>Svítidla nad hrací plochou</w:t>
      </w:r>
      <w:r>
        <w:rPr>
          <w:rFonts w:ascii="Arial" w:hAnsi="Arial" w:cs="Arial"/>
        </w:rPr>
        <w:tab/>
      </w:r>
      <w:r>
        <w:rPr>
          <w:rFonts w:ascii="Arial" w:hAnsi="Arial" w:cs="Arial"/>
        </w:rPr>
        <w:tab/>
      </w:r>
      <w:r w:rsidR="0009630E" w:rsidRPr="00037EAA">
        <w:rPr>
          <w:rFonts w:ascii="Arial" w:hAnsi="Arial" w:cs="Arial"/>
        </w:rPr>
        <w:t>-</w:t>
      </w:r>
      <w:r w:rsidR="0009630E" w:rsidRPr="00037EAA">
        <w:rPr>
          <w:rFonts w:ascii="Arial" w:hAnsi="Arial" w:cs="Arial"/>
        </w:rPr>
        <w:tab/>
        <w:t>60 měsíců</w:t>
      </w:r>
    </w:p>
    <w:p w14:paraId="5E833127" w14:textId="4DA952F4" w:rsidR="0009630E" w:rsidRPr="00037EAA" w:rsidRDefault="001A55E3" w:rsidP="0009630E">
      <w:pPr>
        <w:pStyle w:val="Odstavecseseznamem"/>
        <w:numPr>
          <w:ilvl w:val="0"/>
          <w:numId w:val="11"/>
        </w:numPr>
        <w:rPr>
          <w:rFonts w:ascii="Arial" w:hAnsi="Arial" w:cs="Arial"/>
        </w:rPr>
      </w:pPr>
      <w:r>
        <w:rPr>
          <w:rFonts w:ascii="Arial" w:hAnsi="Arial" w:cs="Arial"/>
        </w:rPr>
        <w:t>Svítidla mimo hrací plochu</w:t>
      </w:r>
      <w:r>
        <w:rPr>
          <w:rFonts w:ascii="Arial" w:hAnsi="Arial" w:cs="Arial"/>
        </w:rPr>
        <w:tab/>
      </w:r>
      <w:bookmarkStart w:id="0" w:name="_GoBack"/>
      <w:bookmarkEnd w:id="0"/>
      <w:r w:rsidR="0009630E" w:rsidRPr="00037EAA">
        <w:rPr>
          <w:rFonts w:ascii="Arial" w:hAnsi="Arial" w:cs="Arial"/>
        </w:rPr>
        <w:tab/>
        <w:t>-</w:t>
      </w:r>
      <w:r w:rsidR="0009630E" w:rsidRPr="00037EAA">
        <w:rPr>
          <w:rFonts w:ascii="Arial" w:hAnsi="Arial" w:cs="Arial"/>
        </w:rPr>
        <w:tab/>
        <w:t>24 měsíců</w:t>
      </w:r>
    </w:p>
    <w:p w14:paraId="4DA3C76E" w14:textId="0ECA54FC" w:rsidR="0009630E" w:rsidRPr="00037EAA" w:rsidRDefault="0009630E" w:rsidP="0009630E">
      <w:pPr>
        <w:pStyle w:val="Odstavecseseznamem"/>
        <w:numPr>
          <w:ilvl w:val="0"/>
          <w:numId w:val="11"/>
        </w:numPr>
        <w:rPr>
          <w:rFonts w:ascii="Arial" w:hAnsi="Arial" w:cs="Arial"/>
        </w:rPr>
      </w:pPr>
      <w:r w:rsidRPr="00037EAA">
        <w:rPr>
          <w:rFonts w:ascii="Arial" w:hAnsi="Arial" w:cs="Arial"/>
        </w:rPr>
        <w:t>Baterie a akumulátory</w:t>
      </w:r>
      <w:r w:rsidRPr="00037EAA">
        <w:rPr>
          <w:rFonts w:ascii="Arial" w:hAnsi="Arial" w:cs="Arial"/>
        </w:rPr>
        <w:tab/>
      </w:r>
      <w:r w:rsidRPr="00037EAA">
        <w:rPr>
          <w:rFonts w:ascii="Arial" w:hAnsi="Arial" w:cs="Arial"/>
        </w:rPr>
        <w:tab/>
      </w:r>
      <w:r w:rsidRPr="00037EAA">
        <w:rPr>
          <w:rFonts w:ascii="Arial" w:hAnsi="Arial" w:cs="Arial"/>
        </w:rPr>
        <w:tab/>
        <w:t>-</w:t>
      </w:r>
      <w:r w:rsidRPr="00037EAA">
        <w:rPr>
          <w:rFonts w:ascii="Arial" w:hAnsi="Arial" w:cs="Arial"/>
        </w:rPr>
        <w:tab/>
        <w:t>6 měsíců</w:t>
      </w:r>
    </w:p>
    <w:p w14:paraId="753A0AE4" w14:textId="2D78CFD8" w:rsidR="0009630E" w:rsidRPr="00037EAA" w:rsidRDefault="0009630E" w:rsidP="0009630E">
      <w:pPr>
        <w:pStyle w:val="Odstavecseseznamem"/>
        <w:numPr>
          <w:ilvl w:val="0"/>
          <w:numId w:val="11"/>
        </w:numPr>
        <w:rPr>
          <w:rFonts w:ascii="Arial" w:hAnsi="Arial" w:cs="Arial"/>
        </w:rPr>
      </w:pPr>
      <w:r w:rsidRPr="00037EAA">
        <w:rPr>
          <w:rFonts w:ascii="Arial" w:hAnsi="Arial" w:cs="Arial"/>
        </w:rPr>
        <w:t xml:space="preserve">Prvky </w:t>
      </w:r>
      <w:proofErr w:type="gramStart"/>
      <w:r w:rsidRPr="00037EAA">
        <w:rPr>
          <w:rFonts w:ascii="Arial" w:hAnsi="Arial" w:cs="Arial"/>
        </w:rPr>
        <w:t>řídícího</w:t>
      </w:r>
      <w:proofErr w:type="gramEnd"/>
      <w:r w:rsidRPr="00037EAA">
        <w:rPr>
          <w:rFonts w:ascii="Arial" w:hAnsi="Arial" w:cs="Arial"/>
        </w:rPr>
        <w:t xml:space="preserve"> systému</w:t>
      </w:r>
      <w:r w:rsidRPr="00037EAA">
        <w:rPr>
          <w:rFonts w:ascii="Arial" w:hAnsi="Arial" w:cs="Arial"/>
        </w:rPr>
        <w:tab/>
      </w:r>
      <w:r w:rsidRPr="00037EAA">
        <w:rPr>
          <w:rFonts w:ascii="Arial" w:hAnsi="Arial" w:cs="Arial"/>
        </w:rPr>
        <w:tab/>
      </w:r>
      <w:r w:rsidRPr="00037EAA">
        <w:rPr>
          <w:rFonts w:ascii="Arial" w:hAnsi="Arial" w:cs="Arial"/>
        </w:rPr>
        <w:tab/>
        <w:t>-</w:t>
      </w:r>
      <w:r w:rsidRPr="00037EAA">
        <w:rPr>
          <w:rFonts w:ascii="Arial" w:hAnsi="Arial" w:cs="Arial"/>
        </w:rPr>
        <w:tab/>
        <w:t>36 měsíců</w:t>
      </w:r>
    </w:p>
    <w:p w14:paraId="184DCDB8" w14:textId="10ED3990" w:rsidR="0009630E" w:rsidRPr="00037EAA" w:rsidRDefault="0009630E" w:rsidP="0009630E">
      <w:pPr>
        <w:pStyle w:val="Odstavecseseznamem"/>
        <w:numPr>
          <w:ilvl w:val="0"/>
          <w:numId w:val="11"/>
        </w:numPr>
        <w:rPr>
          <w:rFonts w:ascii="Arial" w:hAnsi="Arial" w:cs="Arial"/>
        </w:rPr>
      </w:pPr>
      <w:r w:rsidRPr="00037EAA">
        <w:rPr>
          <w:rFonts w:ascii="Arial" w:hAnsi="Arial" w:cs="Arial"/>
        </w:rPr>
        <w:t>Ostatní dodávky a montážní činnost</w:t>
      </w:r>
      <w:r w:rsidRPr="00037EAA">
        <w:rPr>
          <w:rFonts w:ascii="Arial" w:hAnsi="Arial" w:cs="Arial"/>
        </w:rPr>
        <w:tab/>
        <w:t>-</w:t>
      </w:r>
      <w:r w:rsidRPr="00037EAA">
        <w:rPr>
          <w:rFonts w:ascii="Arial" w:hAnsi="Arial" w:cs="Arial"/>
        </w:rPr>
        <w:tab/>
        <w:t>36 měsíců</w:t>
      </w:r>
    </w:p>
    <w:p w14:paraId="68A965A7" w14:textId="77777777" w:rsidR="00F04E57" w:rsidRPr="00037EAA" w:rsidRDefault="00F04E57" w:rsidP="00766203">
      <w:pPr>
        <w:rPr>
          <w:rFonts w:ascii="Arial" w:hAnsi="Arial" w:cs="Arial"/>
        </w:rPr>
      </w:pPr>
    </w:p>
    <w:p w14:paraId="2C576B40" w14:textId="30CFC386" w:rsidR="00766203" w:rsidRPr="00037EAA" w:rsidRDefault="00766203" w:rsidP="00766203">
      <w:pPr>
        <w:pStyle w:val="Odstavecseseznamem"/>
        <w:numPr>
          <w:ilvl w:val="0"/>
          <w:numId w:val="1"/>
        </w:numPr>
        <w:rPr>
          <w:rFonts w:ascii="Arial" w:hAnsi="Arial" w:cs="Arial"/>
          <w:b/>
          <w:bCs/>
          <w:u w:val="single"/>
        </w:rPr>
      </w:pPr>
      <w:r w:rsidRPr="00037EAA">
        <w:rPr>
          <w:rFonts w:ascii="Arial" w:hAnsi="Arial" w:cs="Arial"/>
        </w:rPr>
        <w:t xml:space="preserve"> </w:t>
      </w:r>
      <w:r w:rsidRPr="00037EAA">
        <w:rPr>
          <w:rFonts w:ascii="Arial" w:hAnsi="Arial" w:cs="Arial"/>
          <w:b/>
          <w:bCs/>
          <w:u w:val="single"/>
        </w:rPr>
        <w:t xml:space="preserve">Popis minimálních požadavků </w:t>
      </w:r>
    </w:p>
    <w:p w14:paraId="0EB1F8A7" w14:textId="2A8C2CBD" w:rsidR="00766203" w:rsidRPr="00037EAA" w:rsidRDefault="00766203" w:rsidP="00766203">
      <w:pPr>
        <w:rPr>
          <w:rFonts w:ascii="Arial" w:hAnsi="Arial" w:cs="Arial"/>
        </w:rPr>
      </w:pPr>
      <w:r w:rsidRPr="00037EAA">
        <w:rPr>
          <w:rFonts w:ascii="Arial" w:hAnsi="Arial" w:cs="Arial"/>
        </w:rPr>
        <w:t>Minimální požadavky požadované zadavatelem:</w:t>
      </w:r>
    </w:p>
    <w:p w14:paraId="5E9D2B45" w14:textId="177E5F90" w:rsidR="00766203" w:rsidRPr="00037EAA" w:rsidRDefault="00766203" w:rsidP="00766203">
      <w:pPr>
        <w:pStyle w:val="Odstavecseseznamem"/>
        <w:numPr>
          <w:ilvl w:val="0"/>
          <w:numId w:val="16"/>
        </w:numPr>
        <w:rPr>
          <w:rFonts w:ascii="Arial" w:hAnsi="Arial" w:cs="Arial"/>
        </w:rPr>
      </w:pPr>
      <w:r w:rsidRPr="00037EAA">
        <w:rPr>
          <w:rFonts w:ascii="Arial" w:hAnsi="Arial" w:cs="Arial"/>
        </w:rPr>
        <w:t>Osvětlení hrací plochy musí splňovat nejen intenzitu osvětlení pro jednotlivé sporty a režimy (trénink, utkání apod.), ale zejména pro televizní přenosy</w:t>
      </w:r>
      <w:r w:rsidR="00581611" w:rsidRPr="00037EAA">
        <w:rPr>
          <w:rFonts w:ascii="Arial" w:hAnsi="Arial" w:cs="Arial"/>
        </w:rPr>
        <w:t>,</w:t>
      </w:r>
      <w:r w:rsidRPr="00037EAA">
        <w:rPr>
          <w:rFonts w:ascii="Arial" w:hAnsi="Arial" w:cs="Arial"/>
        </w:rPr>
        <w:t xml:space="preserve"> a to jednoznačně v souladu s </w:t>
      </w:r>
      <w:r w:rsidRPr="00037EAA">
        <w:rPr>
          <w:rFonts w:ascii="Arial" w:hAnsi="Arial" w:cs="Arial"/>
          <w:sz w:val="20"/>
          <w:szCs w:val="20"/>
        </w:rPr>
        <w:t xml:space="preserve">ČSN EN 12193 pro osvětlení sportovišť ve třídách úrovní </w:t>
      </w:r>
      <w:proofErr w:type="gramStart"/>
      <w:r w:rsidRPr="00037EAA">
        <w:rPr>
          <w:rFonts w:ascii="Arial" w:hAnsi="Arial" w:cs="Arial"/>
          <w:sz w:val="20"/>
          <w:szCs w:val="20"/>
        </w:rPr>
        <w:t>soutěží I.+II+III</w:t>
      </w:r>
      <w:proofErr w:type="gramEnd"/>
      <w:r w:rsidRPr="00037EAA">
        <w:rPr>
          <w:rFonts w:ascii="Arial" w:hAnsi="Arial" w:cs="Arial"/>
          <w:sz w:val="20"/>
          <w:szCs w:val="20"/>
        </w:rPr>
        <w:t>, včetně televizních přenosů.</w:t>
      </w:r>
    </w:p>
    <w:p w14:paraId="7D4F966C" w14:textId="1E045C8A" w:rsidR="00766203" w:rsidRPr="00037EAA" w:rsidRDefault="00766203" w:rsidP="00766203">
      <w:pPr>
        <w:pStyle w:val="Odstavecseseznamem"/>
        <w:numPr>
          <w:ilvl w:val="0"/>
          <w:numId w:val="16"/>
        </w:numPr>
        <w:rPr>
          <w:rFonts w:ascii="Arial" w:hAnsi="Arial" w:cs="Arial"/>
        </w:rPr>
      </w:pPr>
      <w:r w:rsidRPr="00037EAA">
        <w:rPr>
          <w:rFonts w:ascii="Arial" w:hAnsi="Arial" w:cs="Arial"/>
          <w:sz w:val="20"/>
          <w:szCs w:val="20"/>
        </w:rPr>
        <w:t>Ovládání osvětlení minimálně na úrovni popsané v této zadávací dokumentaci</w:t>
      </w:r>
    </w:p>
    <w:p w14:paraId="38DF6B49" w14:textId="77777777" w:rsidR="00F04E57" w:rsidRPr="00037EAA" w:rsidRDefault="00F04E57" w:rsidP="000E4BAD">
      <w:pPr>
        <w:rPr>
          <w:rFonts w:ascii="Arial" w:hAnsi="Arial" w:cs="Arial"/>
          <w:highlight w:val="yellow"/>
        </w:rPr>
      </w:pPr>
    </w:p>
    <w:p w14:paraId="24EFACD4" w14:textId="785E1CE6" w:rsidR="000E4BAD" w:rsidRPr="00037EAA" w:rsidRDefault="000E4BAD" w:rsidP="000E4BAD">
      <w:pPr>
        <w:pStyle w:val="Odstavecseseznamem"/>
        <w:numPr>
          <w:ilvl w:val="0"/>
          <w:numId w:val="1"/>
        </w:numPr>
        <w:rPr>
          <w:rFonts w:ascii="Arial" w:hAnsi="Arial" w:cs="Arial"/>
          <w:b/>
          <w:bCs/>
        </w:rPr>
      </w:pPr>
      <w:r w:rsidRPr="00037EAA">
        <w:rPr>
          <w:rFonts w:ascii="Arial" w:hAnsi="Arial" w:cs="Arial"/>
          <w:b/>
          <w:bCs/>
        </w:rPr>
        <w:t>Ostatní podmínky zadavatele</w:t>
      </w:r>
    </w:p>
    <w:p w14:paraId="4D8793B9" w14:textId="77777777" w:rsidR="002B6400" w:rsidRPr="00037EAA" w:rsidRDefault="002B6400" w:rsidP="002B6400">
      <w:pPr>
        <w:pStyle w:val="Odstavecseseznamem"/>
        <w:rPr>
          <w:rFonts w:ascii="Arial" w:hAnsi="Arial" w:cs="Arial"/>
          <w:b/>
          <w:bCs/>
        </w:rPr>
      </w:pPr>
    </w:p>
    <w:p w14:paraId="74ADB3D6" w14:textId="135961B1" w:rsidR="003E7E0D" w:rsidRPr="00037EAA" w:rsidRDefault="000E4BAD" w:rsidP="000E4BAD">
      <w:pPr>
        <w:pStyle w:val="Odstavecseseznamem"/>
        <w:numPr>
          <w:ilvl w:val="0"/>
          <w:numId w:val="16"/>
        </w:numPr>
        <w:rPr>
          <w:rFonts w:ascii="Arial" w:hAnsi="Arial" w:cs="Arial"/>
        </w:rPr>
      </w:pPr>
      <w:r w:rsidRPr="00037EAA">
        <w:rPr>
          <w:rFonts w:ascii="Arial" w:hAnsi="Arial" w:cs="Arial"/>
        </w:rPr>
        <w:t>Cena uvedená v cenové nabídce</w:t>
      </w:r>
      <w:r w:rsidR="00816205" w:rsidRPr="00037EAA">
        <w:rPr>
          <w:rFonts w:ascii="Arial" w:hAnsi="Arial" w:cs="Arial"/>
        </w:rPr>
        <w:t xml:space="preserve"> musí být uvedena jako konečná a</w:t>
      </w:r>
      <w:r w:rsidRPr="00037EAA">
        <w:rPr>
          <w:rFonts w:ascii="Arial" w:hAnsi="Arial" w:cs="Arial"/>
        </w:rPr>
        <w:t> neměnná po celou dobu výstavby</w:t>
      </w:r>
    </w:p>
    <w:p w14:paraId="6A6C0FFF" w14:textId="40E142E5" w:rsidR="00E05A68" w:rsidRPr="00037EAA" w:rsidRDefault="00E05A68" w:rsidP="000E4BAD">
      <w:pPr>
        <w:pStyle w:val="Odstavecseseznamem"/>
        <w:numPr>
          <w:ilvl w:val="0"/>
          <w:numId w:val="16"/>
        </w:numPr>
        <w:rPr>
          <w:rFonts w:ascii="Arial" w:hAnsi="Arial" w:cs="Arial"/>
        </w:rPr>
      </w:pPr>
      <w:r w:rsidRPr="00037EAA">
        <w:rPr>
          <w:rFonts w:ascii="Arial" w:hAnsi="Arial" w:cs="Arial"/>
        </w:rPr>
        <w:t xml:space="preserve">Pokud uchazeč použije do své nabídky </w:t>
      </w:r>
      <w:r w:rsidR="000107AC" w:rsidRPr="00037EAA">
        <w:rPr>
          <w:rFonts w:ascii="Arial" w:hAnsi="Arial" w:cs="Arial"/>
        </w:rPr>
        <w:t>jiné komponenty, než jsou uvedeny jako referenční, předloží zadavateli na jeho výzvu předložení vzorků uvažovaných náhrad, které budou zadavateli k dispozici po celou dobu trvání zakázky.</w:t>
      </w:r>
    </w:p>
    <w:p w14:paraId="7A5AC4E3" w14:textId="094EA04A" w:rsidR="000E4BAD" w:rsidRPr="00037EAA" w:rsidRDefault="000E4BAD" w:rsidP="000E4BAD">
      <w:pPr>
        <w:pStyle w:val="Odstavecseseznamem"/>
        <w:numPr>
          <w:ilvl w:val="0"/>
          <w:numId w:val="16"/>
        </w:numPr>
        <w:rPr>
          <w:rFonts w:ascii="Arial" w:hAnsi="Arial" w:cs="Arial"/>
        </w:rPr>
      </w:pPr>
      <w:r w:rsidRPr="00037EAA">
        <w:rPr>
          <w:rFonts w:ascii="Arial" w:hAnsi="Arial" w:cs="Arial"/>
        </w:rPr>
        <w:t xml:space="preserve">Zhotovitel provede </w:t>
      </w:r>
      <w:r w:rsidR="000107AC" w:rsidRPr="00037EAA">
        <w:rPr>
          <w:rFonts w:ascii="Arial" w:hAnsi="Arial" w:cs="Arial"/>
        </w:rPr>
        <w:t>po dokončení instalace měření intenzity</w:t>
      </w:r>
      <w:r w:rsidR="000C4A4E" w:rsidRPr="00037EAA">
        <w:rPr>
          <w:rFonts w:ascii="Arial" w:hAnsi="Arial" w:cs="Arial"/>
        </w:rPr>
        <w:t>,</w:t>
      </w:r>
      <w:r w:rsidR="00581611" w:rsidRPr="00037EAA">
        <w:rPr>
          <w:rFonts w:ascii="Arial" w:hAnsi="Arial" w:cs="Arial"/>
        </w:rPr>
        <w:t xml:space="preserve"> a to jak v horizontální, tak vertikální rovině</w:t>
      </w:r>
      <w:r w:rsidR="000C4A4E" w:rsidRPr="00037EAA">
        <w:rPr>
          <w:rFonts w:ascii="Arial" w:hAnsi="Arial" w:cs="Arial"/>
        </w:rPr>
        <w:t xml:space="preserve">, </w:t>
      </w:r>
      <w:r w:rsidR="000107AC" w:rsidRPr="00037EAA">
        <w:rPr>
          <w:rFonts w:ascii="Arial" w:hAnsi="Arial" w:cs="Arial"/>
        </w:rPr>
        <w:t>které bude potvrzeno revizním technikem</w:t>
      </w:r>
      <w:r w:rsidR="000C4A4E" w:rsidRPr="00037EAA">
        <w:rPr>
          <w:rFonts w:ascii="Arial" w:hAnsi="Arial" w:cs="Arial"/>
        </w:rPr>
        <w:t xml:space="preserve">. </w:t>
      </w:r>
    </w:p>
    <w:p w14:paraId="1C73AE1C" w14:textId="6D7E0B24" w:rsidR="000E4BAD" w:rsidRPr="00037EAA" w:rsidRDefault="000107AC" w:rsidP="000E4BAD">
      <w:pPr>
        <w:pStyle w:val="Odstavecseseznamem"/>
        <w:numPr>
          <w:ilvl w:val="0"/>
          <w:numId w:val="16"/>
        </w:numPr>
        <w:rPr>
          <w:rFonts w:ascii="Arial" w:hAnsi="Arial" w:cs="Arial"/>
        </w:rPr>
      </w:pPr>
      <w:r w:rsidRPr="00037EAA">
        <w:rPr>
          <w:rFonts w:ascii="Arial" w:hAnsi="Arial" w:cs="Arial"/>
        </w:rPr>
        <w:t xml:space="preserve">Nesplnění jakékoliv podmínky uvedené v tomto zadání může zadavatel vyhodnotit jako nesplnění požadovaného zadání a může </w:t>
      </w:r>
      <w:r w:rsidR="00581611" w:rsidRPr="00037EAA">
        <w:rPr>
          <w:rFonts w:ascii="Arial" w:hAnsi="Arial" w:cs="Arial"/>
        </w:rPr>
        <w:t>uchazeče jednostranně vyloučit.</w:t>
      </w:r>
    </w:p>
    <w:p w14:paraId="27F5A8BC" w14:textId="77777777" w:rsidR="000E4BAD" w:rsidRPr="00037EAA" w:rsidRDefault="000E4BAD" w:rsidP="00581611">
      <w:pPr>
        <w:pStyle w:val="Odstavecseseznamem"/>
        <w:ind w:left="1080"/>
        <w:rPr>
          <w:rFonts w:ascii="Arial" w:hAnsi="Arial" w:cs="Arial"/>
        </w:rPr>
      </w:pPr>
    </w:p>
    <w:p w14:paraId="29131D52" w14:textId="44B1DA59" w:rsidR="004516FB" w:rsidRPr="00037EAA" w:rsidRDefault="004516FB" w:rsidP="00390BB0">
      <w:pPr>
        <w:rPr>
          <w:rFonts w:ascii="Arial" w:hAnsi="Arial" w:cs="Arial"/>
        </w:rPr>
      </w:pPr>
    </w:p>
    <w:sectPr w:rsidR="004516FB" w:rsidRPr="00037EA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4FBF2" w14:textId="77777777" w:rsidR="001B3625" w:rsidRDefault="001B3625" w:rsidP="00804F65">
      <w:pPr>
        <w:spacing w:after="0" w:line="240" w:lineRule="auto"/>
      </w:pPr>
      <w:r>
        <w:separator/>
      </w:r>
    </w:p>
  </w:endnote>
  <w:endnote w:type="continuationSeparator" w:id="0">
    <w:p w14:paraId="054708EC" w14:textId="77777777" w:rsidR="001B3625" w:rsidRDefault="001B3625" w:rsidP="00804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B814A" w14:textId="273E8AD1" w:rsidR="00804F65" w:rsidRPr="00804F65" w:rsidRDefault="00804F65">
    <w:pPr>
      <w:pStyle w:val="Zpat"/>
      <w:jc w:val="center"/>
      <w:rPr>
        <w:b/>
        <w:bCs/>
        <w:color w:val="000000" w:themeColor="text1"/>
        <w:sz w:val="18"/>
        <w:szCs w:val="18"/>
      </w:rPr>
    </w:pPr>
    <w:r w:rsidRPr="00804F65">
      <w:rPr>
        <w:b/>
        <w:bCs/>
        <w:color w:val="000000" w:themeColor="text1"/>
        <w:sz w:val="18"/>
        <w:szCs w:val="18"/>
      </w:rPr>
      <w:t xml:space="preserve">Stránka </w:t>
    </w:r>
    <w:r w:rsidRPr="00804F65">
      <w:rPr>
        <w:b/>
        <w:bCs/>
        <w:color w:val="000000" w:themeColor="text1"/>
        <w:sz w:val="18"/>
        <w:szCs w:val="18"/>
      </w:rPr>
      <w:fldChar w:fldCharType="begin"/>
    </w:r>
    <w:r w:rsidRPr="00804F65">
      <w:rPr>
        <w:b/>
        <w:bCs/>
        <w:color w:val="000000" w:themeColor="text1"/>
        <w:sz w:val="18"/>
        <w:szCs w:val="18"/>
      </w:rPr>
      <w:instrText>PAGE  \* Arabic  \* MERGEFORMAT</w:instrText>
    </w:r>
    <w:r w:rsidRPr="00804F65">
      <w:rPr>
        <w:b/>
        <w:bCs/>
        <w:color w:val="000000" w:themeColor="text1"/>
        <w:sz w:val="18"/>
        <w:szCs w:val="18"/>
      </w:rPr>
      <w:fldChar w:fldCharType="separate"/>
    </w:r>
    <w:r w:rsidR="001A55E3">
      <w:rPr>
        <w:b/>
        <w:bCs/>
        <w:noProof/>
        <w:color w:val="000000" w:themeColor="text1"/>
        <w:sz w:val="18"/>
        <w:szCs w:val="18"/>
      </w:rPr>
      <w:t>4</w:t>
    </w:r>
    <w:r w:rsidRPr="00804F65">
      <w:rPr>
        <w:b/>
        <w:bCs/>
        <w:color w:val="000000" w:themeColor="text1"/>
        <w:sz w:val="18"/>
        <w:szCs w:val="18"/>
      </w:rPr>
      <w:fldChar w:fldCharType="end"/>
    </w:r>
    <w:r w:rsidRPr="00804F65">
      <w:rPr>
        <w:b/>
        <w:bCs/>
        <w:color w:val="000000" w:themeColor="text1"/>
        <w:sz w:val="18"/>
        <w:szCs w:val="18"/>
      </w:rPr>
      <w:t xml:space="preserve"> z </w:t>
    </w:r>
    <w:r w:rsidRPr="00804F65">
      <w:rPr>
        <w:b/>
        <w:bCs/>
        <w:color w:val="000000" w:themeColor="text1"/>
        <w:sz w:val="18"/>
        <w:szCs w:val="18"/>
      </w:rPr>
      <w:fldChar w:fldCharType="begin"/>
    </w:r>
    <w:r w:rsidRPr="00804F65">
      <w:rPr>
        <w:b/>
        <w:bCs/>
        <w:color w:val="000000" w:themeColor="text1"/>
        <w:sz w:val="18"/>
        <w:szCs w:val="18"/>
      </w:rPr>
      <w:instrText>NUMPAGES  \* Arabic  \* MERGEFORMAT</w:instrText>
    </w:r>
    <w:r w:rsidRPr="00804F65">
      <w:rPr>
        <w:b/>
        <w:bCs/>
        <w:color w:val="000000" w:themeColor="text1"/>
        <w:sz w:val="18"/>
        <w:szCs w:val="18"/>
      </w:rPr>
      <w:fldChar w:fldCharType="separate"/>
    </w:r>
    <w:r w:rsidR="001A55E3">
      <w:rPr>
        <w:b/>
        <w:bCs/>
        <w:noProof/>
        <w:color w:val="000000" w:themeColor="text1"/>
        <w:sz w:val="18"/>
        <w:szCs w:val="18"/>
      </w:rPr>
      <w:t>5</w:t>
    </w:r>
    <w:r w:rsidRPr="00804F65">
      <w:rPr>
        <w:b/>
        <w:bCs/>
        <w:color w:val="000000" w:themeColor="text1"/>
        <w:sz w:val="18"/>
        <w:szCs w:val="18"/>
      </w:rPr>
      <w:fldChar w:fldCharType="end"/>
    </w:r>
  </w:p>
  <w:p w14:paraId="097626ED" w14:textId="77777777" w:rsidR="00804F65" w:rsidRDefault="00804F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54712" w14:textId="77777777" w:rsidR="001B3625" w:rsidRDefault="001B3625" w:rsidP="00804F65">
      <w:pPr>
        <w:spacing w:after="0" w:line="240" w:lineRule="auto"/>
      </w:pPr>
      <w:r>
        <w:separator/>
      </w:r>
    </w:p>
  </w:footnote>
  <w:footnote w:type="continuationSeparator" w:id="0">
    <w:p w14:paraId="72A03530" w14:textId="77777777" w:rsidR="001B3625" w:rsidRDefault="001B3625" w:rsidP="00804F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00D0"/>
    <w:multiLevelType w:val="hybridMultilevel"/>
    <w:tmpl w:val="31088436"/>
    <w:lvl w:ilvl="0" w:tplc="C5AAABD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8B058E"/>
    <w:multiLevelType w:val="hybridMultilevel"/>
    <w:tmpl w:val="67C699C4"/>
    <w:lvl w:ilvl="0" w:tplc="2152BA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857551"/>
    <w:multiLevelType w:val="hybridMultilevel"/>
    <w:tmpl w:val="0B4000B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22F428C"/>
    <w:multiLevelType w:val="hybridMultilevel"/>
    <w:tmpl w:val="80E0B61A"/>
    <w:lvl w:ilvl="0" w:tplc="8712431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C813C3"/>
    <w:multiLevelType w:val="multilevel"/>
    <w:tmpl w:val="22AEEA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5" w15:restartNumberingAfterBreak="0">
    <w:nsid w:val="14CD3827"/>
    <w:multiLevelType w:val="hybridMultilevel"/>
    <w:tmpl w:val="35CA1738"/>
    <w:lvl w:ilvl="0" w:tplc="E70E9A6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3BC722C"/>
    <w:multiLevelType w:val="hybridMultilevel"/>
    <w:tmpl w:val="A738B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981F2E"/>
    <w:multiLevelType w:val="hybridMultilevel"/>
    <w:tmpl w:val="CBF4ECB4"/>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8" w15:restartNumberingAfterBreak="0">
    <w:nsid w:val="41B33450"/>
    <w:multiLevelType w:val="hybridMultilevel"/>
    <w:tmpl w:val="3312873C"/>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9" w15:restartNumberingAfterBreak="0">
    <w:nsid w:val="4B99043A"/>
    <w:multiLevelType w:val="hybridMultilevel"/>
    <w:tmpl w:val="5DD66F72"/>
    <w:lvl w:ilvl="0" w:tplc="04050019">
      <w:start w:val="1"/>
      <w:numFmt w:val="lowerLetter"/>
      <w:lvlText w:val="%1."/>
      <w:lvlJc w:val="left"/>
      <w:pPr>
        <w:ind w:left="1427" w:hanging="360"/>
      </w:pPr>
    </w:lvl>
    <w:lvl w:ilvl="1" w:tplc="04050019" w:tentative="1">
      <w:start w:val="1"/>
      <w:numFmt w:val="lowerLetter"/>
      <w:lvlText w:val="%2."/>
      <w:lvlJc w:val="left"/>
      <w:pPr>
        <w:ind w:left="2147" w:hanging="360"/>
      </w:pPr>
    </w:lvl>
    <w:lvl w:ilvl="2" w:tplc="0405001B" w:tentative="1">
      <w:start w:val="1"/>
      <w:numFmt w:val="lowerRoman"/>
      <w:lvlText w:val="%3."/>
      <w:lvlJc w:val="right"/>
      <w:pPr>
        <w:ind w:left="2867" w:hanging="180"/>
      </w:pPr>
    </w:lvl>
    <w:lvl w:ilvl="3" w:tplc="0405000F" w:tentative="1">
      <w:start w:val="1"/>
      <w:numFmt w:val="decimal"/>
      <w:lvlText w:val="%4."/>
      <w:lvlJc w:val="left"/>
      <w:pPr>
        <w:ind w:left="3587" w:hanging="360"/>
      </w:pPr>
    </w:lvl>
    <w:lvl w:ilvl="4" w:tplc="04050019" w:tentative="1">
      <w:start w:val="1"/>
      <w:numFmt w:val="lowerLetter"/>
      <w:lvlText w:val="%5."/>
      <w:lvlJc w:val="left"/>
      <w:pPr>
        <w:ind w:left="4307" w:hanging="360"/>
      </w:pPr>
    </w:lvl>
    <w:lvl w:ilvl="5" w:tplc="0405001B" w:tentative="1">
      <w:start w:val="1"/>
      <w:numFmt w:val="lowerRoman"/>
      <w:lvlText w:val="%6."/>
      <w:lvlJc w:val="right"/>
      <w:pPr>
        <w:ind w:left="5027" w:hanging="180"/>
      </w:pPr>
    </w:lvl>
    <w:lvl w:ilvl="6" w:tplc="0405000F" w:tentative="1">
      <w:start w:val="1"/>
      <w:numFmt w:val="decimal"/>
      <w:lvlText w:val="%7."/>
      <w:lvlJc w:val="left"/>
      <w:pPr>
        <w:ind w:left="5747" w:hanging="360"/>
      </w:pPr>
    </w:lvl>
    <w:lvl w:ilvl="7" w:tplc="04050019" w:tentative="1">
      <w:start w:val="1"/>
      <w:numFmt w:val="lowerLetter"/>
      <w:lvlText w:val="%8."/>
      <w:lvlJc w:val="left"/>
      <w:pPr>
        <w:ind w:left="6467" w:hanging="360"/>
      </w:pPr>
    </w:lvl>
    <w:lvl w:ilvl="8" w:tplc="0405001B" w:tentative="1">
      <w:start w:val="1"/>
      <w:numFmt w:val="lowerRoman"/>
      <w:lvlText w:val="%9."/>
      <w:lvlJc w:val="right"/>
      <w:pPr>
        <w:ind w:left="7187" w:hanging="180"/>
      </w:pPr>
    </w:lvl>
  </w:abstractNum>
  <w:abstractNum w:abstractNumId="10" w15:restartNumberingAfterBreak="0">
    <w:nsid w:val="53C1640F"/>
    <w:multiLevelType w:val="hybridMultilevel"/>
    <w:tmpl w:val="BA8AD26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549802EA"/>
    <w:multiLevelType w:val="hybridMultilevel"/>
    <w:tmpl w:val="BB2C1F12"/>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2" w15:restartNumberingAfterBreak="0">
    <w:nsid w:val="5AB93387"/>
    <w:multiLevelType w:val="hybridMultilevel"/>
    <w:tmpl w:val="2194A23E"/>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3" w15:restartNumberingAfterBreak="0">
    <w:nsid w:val="66075497"/>
    <w:multiLevelType w:val="hybridMultilevel"/>
    <w:tmpl w:val="431C0B3A"/>
    <w:lvl w:ilvl="0" w:tplc="4C20CCC6">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49F57AF"/>
    <w:multiLevelType w:val="hybridMultilevel"/>
    <w:tmpl w:val="36B08A2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77F65F20"/>
    <w:multiLevelType w:val="hybridMultilevel"/>
    <w:tmpl w:val="5442D202"/>
    <w:lvl w:ilvl="0" w:tplc="04050001">
      <w:start w:val="1"/>
      <w:numFmt w:val="bullet"/>
      <w:lvlText w:val=""/>
      <w:lvlJc w:val="left"/>
      <w:pPr>
        <w:ind w:left="2844" w:hanging="360"/>
      </w:pPr>
      <w:rPr>
        <w:rFonts w:ascii="Symbol" w:hAnsi="Symbol" w:hint="default"/>
      </w:rPr>
    </w:lvl>
    <w:lvl w:ilvl="1" w:tplc="04050003" w:tentative="1">
      <w:start w:val="1"/>
      <w:numFmt w:val="bullet"/>
      <w:lvlText w:val="o"/>
      <w:lvlJc w:val="left"/>
      <w:pPr>
        <w:ind w:left="3564" w:hanging="360"/>
      </w:pPr>
      <w:rPr>
        <w:rFonts w:ascii="Courier New" w:hAnsi="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7FB21EA7"/>
    <w:multiLevelType w:val="hybridMultilevel"/>
    <w:tmpl w:val="6060C284"/>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hint="default"/>
      </w:rPr>
    </w:lvl>
    <w:lvl w:ilvl="8" w:tplc="04050005" w:tentative="1">
      <w:start w:val="1"/>
      <w:numFmt w:val="bullet"/>
      <w:lvlText w:val=""/>
      <w:lvlJc w:val="left"/>
      <w:pPr>
        <w:ind w:left="8244" w:hanging="360"/>
      </w:pPr>
      <w:rPr>
        <w:rFonts w:ascii="Wingdings" w:hAnsi="Wingdings" w:hint="default"/>
      </w:rPr>
    </w:lvl>
  </w:abstractNum>
  <w:num w:numId="1">
    <w:abstractNumId w:val="4"/>
  </w:num>
  <w:num w:numId="2">
    <w:abstractNumId w:val="10"/>
  </w:num>
  <w:num w:numId="3">
    <w:abstractNumId w:val="14"/>
  </w:num>
  <w:num w:numId="4">
    <w:abstractNumId w:val="2"/>
  </w:num>
  <w:num w:numId="5">
    <w:abstractNumId w:val="11"/>
  </w:num>
  <w:num w:numId="6">
    <w:abstractNumId w:val="1"/>
  </w:num>
  <w:num w:numId="7">
    <w:abstractNumId w:val="9"/>
  </w:num>
  <w:num w:numId="8">
    <w:abstractNumId w:val="12"/>
  </w:num>
  <w:num w:numId="9">
    <w:abstractNumId w:val="6"/>
  </w:num>
  <w:num w:numId="10">
    <w:abstractNumId w:val="15"/>
  </w:num>
  <w:num w:numId="11">
    <w:abstractNumId w:val="7"/>
  </w:num>
  <w:num w:numId="12">
    <w:abstractNumId w:val="8"/>
  </w:num>
  <w:num w:numId="13">
    <w:abstractNumId w:val="16"/>
  </w:num>
  <w:num w:numId="14">
    <w:abstractNumId w:val="3"/>
  </w:num>
  <w:num w:numId="15">
    <w:abstractNumId w:val="0"/>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8DB"/>
    <w:rsid w:val="000107AC"/>
    <w:rsid w:val="00025EC6"/>
    <w:rsid w:val="00026E25"/>
    <w:rsid w:val="00037EAA"/>
    <w:rsid w:val="00064E1D"/>
    <w:rsid w:val="0009630E"/>
    <w:rsid w:val="000C4A4E"/>
    <w:rsid w:val="000C634B"/>
    <w:rsid w:val="000E4BAD"/>
    <w:rsid w:val="001A55E3"/>
    <w:rsid w:val="001B2891"/>
    <w:rsid w:val="001B3625"/>
    <w:rsid w:val="001E1E3B"/>
    <w:rsid w:val="002B6400"/>
    <w:rsid w:val="002C4A7E"/>
    <w:rsid w:val="002F265E"/>
    <w:rsid w:val="00313D30"/>
    <w:rsid w:val="00320824"/>
    <w:rsid w:val="00390BB0"/>
    <w:rsid w:val="003E7E0D"/>
    <w:rsid w:val="00437892"/>
    <w:rsid w:val="004516FB"/>
    <w:rsid w:val="004C37D5"/>
    <w:rsid w:val="004E6F95"/>
    <w:rsid w:val="00581611"/>
    <w:rsid w:val="005C3004"/>
    <w:rsid w:val="005D69E0"/>
    <w:rsid w:val="0067578A"/>
    <w:rsid w:val="006B7661"/>
    <w:rsid w:val="007115AD"/>
    <w:rsid w:val="00766203"/>
    <w:rsid w:val="00804F65"/>
    <w:rsid w:val="00816205"/>
    <w:rsid w:val="0097304C"/>
    <w:rsid w:val="009B38EE"/>
    <w:rsid w:val="009D1D24"/>
    <w:rsid w:val="00A22FB7"/>
    <w:rsid w:val="00AF7747"/>
    <w:rsid w:val="00B456B8"/>
    <w:rsid w:val="00B56F8D"/>
    <w:rsid w:val="00C22EA2"/>
    <w:rsid w:val="00C33C1A"/>
    <w:rsid w:val="00CA74FF"/>
    <w:rsid w:val="00DB5F57"/>
    <w:rsid w:val="00E05A68"/>
    <w:rsid w:val="00E348EE"/>
    <w:rsid w:val="00E77F39"/>
    <w:rsid w:val="00EA56FF"/>
    <w:rsid w:val="00F04E57"/>
    <w:rsid w:val="00F53B55"/>
    <w:rsid w:val="00F908DB"/>
    <w:rsid w:val="00FD4F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FE9F6"/>
  <w15:chartTrackingRefBased/>
  <w15:docId w15:val="{14D3F56B-CB9F-F349-B81F-AB13597A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08DB"/>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90BB0"/>
    <w:pPr>
      <w:ind w:left="720"/>
      <w:contextualSpacing/>
    </w:pPr>
  </w:style>
  <w:style w:type="paragraph" w:customStyle="1" w:styleId="Standard">
    <w:name w:val="Standard"/>
    <w:rsid w:val="00313D30"/>
    <w:pPr>
      <w:suppressAutoHyphens/>
      <w:autoSpaceDN w:val="0"/>
      <w:textAlignment w:val="baseline"/>
    </w:pPr>
    <w:rPr>
      <w:rFonts w:ascii="Liberation Serif" w:eastAsia="NSimSun" w:hAnsi="Liberation Serif" w:cs="Arial Unicode MS"/>
      <w:kern w:val="3"/>
      <w:lang w:eastAsia="zh-CN" w:bidi="hi-IN"/>
    </w:rPr>
  </w:style>
  <w:style w:type="paragraph" w:styleId="Zhlav">
    <w:name w:val="header"/>
    <w:basedOn w:val="Normln"/>
    <w:link w:val="ZhlavChar"/>
    <w:uiPriority w:val="99"/>
    <w:unhideWhenUsed/>
    <w:rsid w:val="00804F6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04F65"/>
    <w:rPr>
      <w:sz w:val="22"/>
      <w:szCs w:val="22"/>
    </w:rPr>
  </w:style>
  <w:style w:type="paragraph" w:styleId="Zpat">
    <w:name w:val="footer"/>
    <w:basedOn w:val="Normln"/>
    <w:link w:val="ZpatChar"/>
    <w:uiPriority w:val="99"/>
    <w:unhideWhenUsed/>
    <w:rsid w:val="00804F65"/>
    <w:pPr>
      <w:tabs>
        <w:tab w:val="center" w:pos="4536"/>
        <w:tab w:val="right" w:pos="9072"/>
      </w:tabs>
      <w:spacing w:after="0" w:line="240" w:lineRule="auto"/>
    </w:pPr>
  </w:style>
  <w:style w:type="character" w:customStyle="1" w:styleId="ZpatChar">
    <w:name w:val="Zápatí Char"/>
    <w:basedOn w:val="Standardnpsmoodstavce"/>
    <w:link w:val="Zpat"/>
    <w:uiPriority w:val="99"/>
    <w:rsid w:val="00804F65"/>
    <w:rPr>
      <w:sz w:val="22"/>
      <w:szCs w:val="22"/>
    </w:rPr>
  </w:style>
  <w:style w:type="character" w:styleId="Hypertextovodkaz">
    <w:name w:val="Hyperlink"/>
    <w:basedOn w:val="Standardnpsmoodstavce"/>
    <w:uiPriority w:val="99"/>
    <w:unhideWhenUsed/>
    <w:rsid w:val="00581611"/>
    <w:rPr>
      <w:color w:val="0563C1" w:themeColor="hyperlink"/>
      <w:u w:val="single"/>
    </w:rPr>
  </w:style>
  <w:style w:type="character" w:customStyle="1" w:styleId="UnresolvedMention">
    <w:name w:val="Unresolved Mention"/>
    <w:basedOn w:val="Standardnpsmoodstavce"/>
    <w:uiPriority w:val="99"/>
    <w:semiHidden/>
    <w:unhideWhenUsed/>
    <w:rsid w:val="00581611"/>
    <w:rPr>
      <w:color w:val="605E5C"/>
      <w:shd w:val="clear" w:color="auto" w:fill="E1DFDD"/>
    </w:rPr>
  </w:style>
  <w:style w:type="character" w:styleId="Sledovanodkaz">
    <w:name w:val="FollowedHyperlink"/>
    <w:basedOn w:val="Standardnpsmoodstavce"/>
    <w:uiPriority w:val="99"/>
    <w:semiHidden/>
    <w:unhideWhenUsed/>
    <w:rsid w:val="005816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02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1301</Words>
  <Characters>7676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Mrázek</dc:creator>
  <cp:keywords/>
  <dc:description/>
  <cp:lastModifiedBy>Luděk Burian</cp:lastModifiedBy>
  <cp:revision>5</cp:revision>
  <dcterms:created xsi:type="dcterms:W3CDTF">2022-05-04T12:07:00Z</dcterms:created>
  <dcterms:modified xsi:type="dcterms:W3CDTF">2022-05-17T07:37:00Z</dcterms:modified>
</cp:coreProperties>
</file>